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eastAsia="黑体"/>
          <w:b/>
          <w:sz w:val="26"/>
        </w:rPr>
        <w:t>图 2-1  本课题总体框架图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fill="FCE4D6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vAlign w:val="center"/>
          </w:tcPr>
          <w:p>
            <w:pPr>
              <w:spacing w:before="60" w:after="60" w:lineRule="exact" w:line="320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总体目标</w:t>
            </w:r>
          </w:p>
          <w:p>
            <w:pPr>
              <w:spacing w:before="20" w:after="20" w:lineRule="exact" w:line="290"/>
              <w:jc w:val="center"/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构建巴渝优秀传统文化资源知识图谱，揭示其价值内涵，提出传播创新路径</w:t>
            </w:r>
          </w:p>
        </w:tc>
      </w:tr>
    </w:tbl>
    <w:p>
      <w:pPr>
        <w:spacing w:after="40" w:before="40"/>
        <w:jc w:val="center"/>
      </w:pPr>
      <w:r>
        <w:rPr>
          <w:rFonts w:ascii="Times New Roman" w:hAnsi="Times New Roman" w:eastAsia="宋体"/>
          <w:b/>
          <w:color w:val="595959"/>
          <w:sz w:val="28"/>
        </w:rPr>
        <w:t>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39"/>
            <w:shd w:val="clear" w:fill="FFF2CC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vAlign w:val="center"/>
          </w:tcPr>
          <w:p>
            <w:pPr>
              <w:spacing w:before="60" w:after="60" w:lineRule="exact" w:line="30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4472C4"/>
                <w:sz w:val="21"/>
              </w:rPr>
              <w:t>问题一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资源分散、标准不一</w:t>
            </w:r>
          </w:p>
        </w:tc>
        <w:tc>
          <w:tcPr>
            <w:tcW w:type="dxa" w:w="2939"/>
            <w:shd w:val="clear" w:fill="FFF2CC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vAlign w:val="center"/>
          </w:tcPr>
          <w:p>
            <w:pPr>
              <w:spacing w:before="60" w:after="60" w:lineRule="exact" w:line="30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ED7D31"/>
                <w:sz w:val="21"/>
              </w:rPr>
              <w:t>问题二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关联薄弱、阐释不深</w:t>
            </w:r>
          </w:p>
        </w:tc>
        <w:tc>
          <w:tcPr>
            <w:tcW w:type="dxa" w:w="2939"/>
            <w:shd w:val="clear" w:fill="FFF2CC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vAlign w:val="center"/>
          </w:tcPr>
          <w:p>
            <w:pPr>
              <w:spacing w:before="60" w:after="60" w:lineRule="exact" w:line="30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548235"/>
                <w:sz w:val="21"/>
              </w:rPr>
              <w:t>问题三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转化不足、场景不清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2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4472C4"/>
                <w:sz w:val="28"/>
              </w:rPr>
              <w:t>▼</w:t>
            </w:r>
          </w:p>
        </w:tc>
        <w:tc>
          <w:tcPr>
            <w:tcW w:type="dxa" w:w="302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ED7D31"/>
                <w:sz w:val="28"/>
              </w:rPr>
              <w:t>▼</w:t>
            </w:r>
          </w:p>
        </w:tc>
        <w:tc>
          <w:tcPr>
            <w:tcW w:type="dxa" w:w="302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color w:val="548235"/>
                <w:sz w:val="28"/>
              </w:rPr>
              <w:t>▼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39"/>
            <w:shd w:val="clear" w:fill="DEEAF6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vAlign w:val="center"/>
          </w:tcPr>
          <w:p>
            <w:pPr>
              <w:spacing w:before="60" w:after="60" w:lineRule="exact" w:line="29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4472C4"/>
                <w:sz w:val="21"/>
              </w:rPr>
              <w:t>研究内容一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/>
                <w:sz w:val="20"/>
              </w:rPr>
              <w:t>资源数据化整理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资源普查 → 分类体系 →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数据规范 → 基础数据目录</w:t>
            </w:r>
          </w:p>
        </w:tc>
        <w:tc>
          <w:tcPr>
            <w:tcW w:type="dxa" w:w="2939"/>
            <w:shd w:val="clear" w:fill="DEEAF6"/>
            <w:tcBorders>
              <w:top w:val="single" w:sz="12" w:space="0" w:color="ED7D31"/>
              <w:left w:val="single" w:sz="12" w:space="0" w:color="ED7D31"/>
              <w:bottom w:val="single" w:sz="12" w:space="0" w:color="ED7D31"/>
              <w:right w:val="single" w:sz="12" w:space="0" w:color="ED7D31"/>
            </w:tcBorders>
            <w:vAlign w:val="center"/>
          </w:tcPr>
          <w:p>
            <w:pPr>
              <w:spacing w:before="60" w:after="60" w:lineRule="exact" w:line="29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ED7D31"/>
                <w:sz w:val="21"/>
              </w:rPr>
              <w:t>研究内容二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/>
                <w:sz w:val="20"/>
              </w:rPr>
              <w:t>知识图谱构建与价值挖掘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本体建模→实体识别→关系抽取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→知识融合→图谱原型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→时空/主题/关系网络分析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→价值内涵与精神标识</w:t>
            </w:r>
          </w:p>
        </w:tc>
        <w:tc>
          <w:tcPr>
            <w:tcW w:type="dxa" w:w="2939"/>
            <w:shd w:val="clear" w:fill="DEEAF6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vAlign w:val="center"/>
          </w:tcPr>
          <w:p>
            <w:pPr>
              <w:spacing w:before="60" w:after="60" w:lineRule="exact" w:line="290"/>
              <w:jc w:val="center"/>
            </w:pPr>
            <w:r/>
            <w:r>
              <w:rPr>
                <w:rFonts w:ascii="Times New Roman" w:hAnsi="Times New Roman" w:eastAsia="仿宋_GB2312"/>
                <w:b/>
                <w:color w:val="548235"/>
                <w:sz w:val="21"/>
              </w:rPr>
              <w:t>研究内容三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/>
                <w:sz w:val="20"/>
              </w:rPr>
              <w:t>传播创新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教育／文旅／公共文化服务／</w:t>
            </w:r>
          </w:p>
          <w:p>
            <w:pPr>
              <w:spacing w:before="20" w:after="20" w:lineRule="exact" w:line="260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网络传播四类场景传播路径设计</w:t>
            </w:r>
          </w:p>
        </w:tc>
      </w:tr>
    </w:tbl>
    <w:p>
      <w:pPr>
        <w:spacing w:after="0" w:before="40"/>
        <w:jc w:val="center"/>
      </w:pPr>
      <w:r>
        <w:rPr>
          <w:rFonts w:ascii="Times New Roman" w:hAnsi="Times New Roman" w:eastAsia="宋体"/>
          <w:b/>
          <w:sz w:val="26"/>
        </w:rPr>
        <w:t>▼　　　　　　　　　　▼　　　　　　　　　　▼</w:t>
      </w:r>
    </w:p>
    <w:p>
      <w:pPr>
        <w:spacing w:after="40" w:before="0"/>
        <w:jc w:val="center"/>
      </w:pPr>
      <w:r>
        <w:rPr>
          <w:rFonts w:ascii="Times New Roman" w:hAnsi="Times New Roman" w:eastAsia="黑体"/>
          <w:b/>
          <w:sz w:val="19"/>
        </w:rPr>
        <w:t>共同支撑</w:t>
      </w:r>
    </w:p>
    <w:p>
      <w:pPr>
        <w:spacing w:after="40" w:before="40"/>
        <w:jc w:val="center"/>
      </w:pPr>
      <w:r>
        <w:rPr>
          <w:rFonts w:ascii="Times New Roman" w:hAnsi="Times New Roman" w:eastAsia="宋体"/>
          <w:b/>
          <w:color w:val="595959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fill="FCE4D6"/>
            <w:tcBorders>
              <w:top w:val="single" w:sz="10" w:space="0" w:color="C55A11"/>
              <w:left w:val="single" w:sz="10" w:space="0" w:color="C55A11"/>
              <w:bottom w:val="single" w:sz="10" w:space="0" w:color="C55A11"/>
              <w:right w:val="single" w:sz="10" w:space="0" w:color="C55A11"/>
            </w:tcBorders>
            <w:vAlign w:val="center"/>
          </w:tcPr>
          <w:p>
            <w:pPr>
              <w:spacing w:before="60" w:after="60" w:lineRule="exact" w:line="320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预期成果</w:t>
            </w:r>
          </w:p>
          <w:p>
            <w:pPr>
              <w:spacing w:before="20" w:after="20" w:lineRule="exact" w:line="290"/>
              <w:jc w:val="center"/>
            </w:pPr>
            <w:r>
              <w:rPr>
                <w:rFonts w:ascii="Times New Roman" w:hAnsi="Times New Roman" w:eastAsia="仿宋_GB2312"/>
                <w:b w:val="0"/>
                <w:sz w:val="21"/>
              </w:rPr>
              <w:t>学术论文　·　研究报告　·　知识图谱原型　·　可视化成果</w:t>
            </w:r>
          </w:p>
        </w:tc>
      </w:tr>
    </w:tbl>
    <w:p>
      <w:pPr>
        <w:spacing w:after="40" w:before="80"/>
        <w:jc w:val="center"/>
      </w:pPr>
      <w:r>
        <w:rPr>
          <w:rFonts w:ascii="Times New Roman" w:hAnsi="Times New Roman" w:eastAsia="宋体"/>
          <w:b/>
          <w:sz w:val="26"/>
        </w:rPr>
        <w:t>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071"/>
            <w:shd w:val="clear" w:fill="E2EFD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vAlign w:val="center"/>
          </w:tcPr>
          <w:p>
            <w:pPr>
              <w:spacing w:before="60" w:after="60" w:lineRule="exact" w:line="320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2"/>
              </w:rPr>
              <w:t>理论与技术支撑</w:t>
            </w:r>
          </w:p>
          <w:p>
            <w:pPr>
              <w:spacing w:before="20" w:after="20" w:lineRule="exact" w:line="280"/>
              <w:jc w:val="center"/>
            </w:pPr>
            <w:r>
              <w:rPr>
                <w:rFonts w:ascii="Times New Roman" w:hAnsi="Times New Roman" w:eastAsia="仿宋_GB2312"/>
                <w:b w:val="0"/>
                <w:sz w:val="20"/>
              </w:rPr>
              <w:t>数字人文理论　·　信息资源管理　·　知识图谱技术　·　巴渝文化研究</w:t>
            </w:r>
          </w:p>
        </w:tc>
      </w:tr>
    </w:tbl>
    <w:p>
      <w:pPr>
        <w:spacing w:after="0" w:before="0"/>
        <w:jc w:val="center"/>
      </w:pPr>
    </w:p>
    <w:p>
      <w:pPr>
        <w:spacing w:after="0" w:before="0"/>
        <w:jc w:val="center"/>
      </w:pPr>
      <w:r>
        <w:rPr>
          <w:rFonts w:ascii="Times New Roman" w:hAnsi="Times New Roman" w:eastAsia="楷体_GB2312"/>
          <w:b w:val="0"/>
          <w:sz w:val="18"/>
        </w:rPr>
        <w:t>说明：三个现实问题与三项研究内容按颜色纵向对应（蓝—问题一/内容一，橙—问题二/内容二，绿—问题三/内容三），研究内容二内嵌"资源数据化→数据知识化→知识价值化→价值传播化"技术路线的中段（数据知识化、知识价值化两个阶段）；三项内容共同支撑总体目标的实现，理论与技术支撑贯穿研究全过程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