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</w:pPr>
      <w:r>
        <w:rPr>
          <w:rFonts w:ascii="Times New Roman" w:hAnsi="Times New Roman" w:eastAsia="宋体"/>
          <w:b w:val="0"/>
          <w:sz w:val="24"/>
        </w:rPr>
        <w:t>项目所属科类：电子与信息大类　　　　　　申报类别代码：1</w:t>
      </w:r>
    </w:p>
    <w:p>
      <w:pPr>
        <w:spacing w:after="240" w:before="0" w:line="360" w:lineRule="auto"/>
      </w:pPr>
    </w:p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sz w:val="44"/>
        </w:rPr>
        <w:t>重庆工程职业技术大学</w:t>
      </w:r>
    </w:p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sz w:val="44"/>
        </w:rPr>
        <w:t>教育教学改革研究项目</w:t>
      </w:r>
    </w:p>
    <w:p>
      <w:pPr>
        <w:spacing w:after="600" w:before="200" w:line="360" w:lineRule="auto"/>
        <w:jc w:val="center"/>
      </w:pPr>
      <w:r>
        <w:rPr>
          <w:rFonts w:ascii="Times New Roman" w:hAnsi="Times New Roman" w:eastAsia="黑体"/>
          <w:b/>
          <w:sz w:val="52"/>
        </w:rPr>
        <w:t>立 项 申 请 书</w:t>
      </w:r>
    </w:p>
    <w:p>
      <w:pPr>
        <w:spacing w:after="280" w:line="360" w:lineRule="auto"/>
        <w:jc w:val="center"/>
      </w:pPr>
      <w:r>
        <w:rPr>
          <w:rFonts w:ascii="Times New Roman" w:hAnsi="Times New Roman" w:eastAsia="黑体"/>
          <w:b/>
          <w:sz w:val="30"/>
        </w:rPr>
        <w:t>项目名称：</w:t>
      </w:r>
      <w:r>
        <w:rPr>
          <w:rFonts w:ascii="Times New Roman" w:hAnsi="Times New Roman" w:eastAsia="宋体"/>
          <w:b w:val="0"/>
          <w:sz w:val="30"/>
        </w:rPr>
        <w:t>职业本科背景下AI支持的分层分类个性化培养模式研究——以“专科—本科”贯通培养为例</w:t>
      </w:r>
    </w:p>
    <w:p>
      <w:pPr>
        <w:spacing w:after="280" w:line="360" w:lineRule="auto"/>
        <w:jc w:val="center"/>
      </w:pPr>
      <w:r>
        <w:rPr>
          <w:rFonts w:ascii="Times New Roman" w:hAnsi="Times New Roman" w:eastAsia="黑体"/>
          <w:b/>
          <w:sz w:val="30"/>
        </w:rPr>
        <w:t>申 请 人：</w:t>
      </w:r>
      <w:r>
        <w:rPr>
          <w:rFonts w:ascii="Times New Roman" w:hAnsi="Times New Roman" w:eastAsia="宋体"/>
          <w:b w:val="0"/>
          <w:sz w:val="30"/>
        </w:rPr>
        <w:t>廖清科</w:t>
      </w:r>
    </w:p>
    <w:p>
      <w:pPr>
        <w:spacing w:after="280" w:line="360" w:lineRule="auto"/>
        <w:jc w:val="center"/>
      </w:pPr>
      <w:r>
        <w:rPr>
          <w:rFonts w:ascii="Times New Roman" w:hAnsi="Times New Roman" w:eastAsia="黑体"/>
          <w:b/>
          <w:sz w:val="30"/>
        </w:rPr>
        <w:t>所在部门：</w:t>
      </w:r>
      <w:r>
        <w:rPr>
          <w:rFonts w:ascii="Times New Roman" w:hAnsi="Times New Roman" w:eastAsia="宋体"/>
          <w:b w:val="0"/>
          <w:sz w:val="30"/>
        </w:rPr>
        <w:t>信息技术学院</w:t>
      </w:r>
    </w:p>
    <w:p>
      <w:pPr>
        <w:spacing w:after="280" w:line="360" w:lineRule="auto"/>
        <w:jc w:val="center"/>
      </w:pPr>
      <w:r>
        <w:rPr>
          <w:rFonts w:ascii="Times New Roman" w:hAnsi="Times New Roman" w:eastAsia="黑体"/>
          <w:b/>
          <w:sz w:val="30"/>
        </w:rPr>
        <w:t>联系电话：</w:t>
      </w:r>
      <w:r>
        <w:rPr>
          <w:rFonts w:ascii="Times New Roman" w:hAnsi="Times New Roman" w:eastAsia="宋体"/>
          <w:b w:val="0"/>
          <w:sz w:val="30"/>
        </w:rPr>
        <w:t>15223150184</w:t>
      </w:r>
    </w:p>
    <w:p>
      <w:pPr>
        <w:spacing w:after="280" w:line="360" w:lineRule="auto"/>
        <w:jc w:val="center"/>
      </w:pPr>
      <w:r>
        <w:rPr>
          <w:rFonts w:ascii="Times New Roman" w:hAnsi="Times New Roman" w:eastAsia="黑体"/>
          <w:b/>
          <w:sz w:val="30"/>
        </w:rPr>
        <w:t>申请日期：</w:t>
      </w:r>
      <w:r>
        <w:rPr>
          <w:rFonts w:ascii="Times New Roman" w:hAnsi="Times New Roman" w:eastAsia="宋体"/>
          <w:b w:val="0"/>
          <w:sz w:val="30"/>
        </w:rPr>
        <w:t>2026 年    月    日</w:t>
      </w:r>
    </w:p>
    <w:p>
      <w:pPr>
        <w:spacing w:after="480" w:before="0" w:line="360" w:lineRule="auto"/>
      </w:pPr>
    </w:p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sz w:val="32"/>
        </w:rPr>
        <w:t>教 务 处 制</w:t>
      </w:r>
    </w:p>
    <w:p>
      <w:r>
        <w:br w:type="page"/>
      </w:r>
    </w:p>
    <w:p>
      <w:pPr>
        <w:spacing w:after="240" w:before="0" w:line="360" w:lineRule="auto"/>
        <w:jc w:val="center"/>
      </w:pPr>
      <w:r>
        <w:rPr>
          <w:rFonts w:ascii="Times New Roman" w:hAnsi="Times New Roman" w:eastAsia="黑体"/>
          <w:b/>
          <w:sz w:val="32"/>
        </w:rPr>
        <w:t>填 表 说 明</w:t>
      </w:r>
    </w:p>
    <w:p>
      <w:pPr>
        <w:spacing w:after="16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一、填写各项内容时，应实事求是，表达要明确、严谨。</w:t>
      </w:r>
    </w:p>
    <w:p>
      <w:pPr>
        <w:spacing w:after="16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二、申请书为A4复印纸，于左侧装订成册，一式两份，由所在部门审查、签署意见后，报送教务处。电子文档一并上报教务处。</w:t>
      </w:r>
    </w:p>
    <w:p>
      <w:pPr>
        <w:spacing w:after="16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三、项目所属科类指《职业教育专业目录（2021）》中所列的专业大类；教育管理类的填写“教育管理”。“类别代码”中，1代表“重点项目”，2代表“一般项目”。</w:t>
      </w:r>
    </w:p>
    <w:p>
      <w:r>
        <w:br w:type="page"/>
      </w:r>
    </w:p>
    <w:p>
      <w:pPr>
        <w:spacing w:after="160" w:before="0" w:line="360" w:lineRule="auto"/>
      </w:pPr>
      <w:r>
        <w:rPr>
          <w:rFonts w:ascii="Times New Roman" w:hAnsi="Times New Roman" w:eastAsia="黑体"/>
          <w:b/>
          <w:sz w:val="28"/>
        </w:rPr>
        <w:t>一、项目主持人及成员情况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16"/>
        <w:gridCol w:w="1516"/>
        <w:gridCol w:w="1516"/>
        <w:gridCol w:w="1516"/>
        <w:gridCol w:w="1516"/>
        <w:gridCol w:w="1516"/>
      </w:tblGrid>
      <w:tr>
        <w:tc>
          <w:tcPr>
            <w:tcW w:type="dxa" w:w="1516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项目名称</w:t>
            </w:r>
          </w:p>
        </w:tc>
        <w:tc>
          <w:tcPr>
            <w:tcW w:type="dxa" w:w="7580"/>
            <w:gridSpan w:val="5"/>
            <w:vAlign w:val="center"/>
          </w:tcPr>
          <w:p>
            <w:pPr>
              <w:spacing w:line="288" w:lineRule="auto"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职业本科背景下AI支持的分层分类个性化培养模式研究——以“专科—本科”贯通培养为例</w:t>
            </w:r>
          </w:p>
        </w:tc>
      </w:tr>
      <w:tr>
        <w:tc>
          <w:tcPr>
            <w:tcW w:type="dxa" w:w="1516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申请金额</w:t>
            </w:r>
          </w:p>
        </w:tc>
        <w:tc>
          <w:tcPr>
            <w:tcW w:type="dxa" w:w="7580"/>
            <w:gridSpan w:val="5"/>
            <w:vAlign w:val="center"/>
          </w:tcPr>
          <w:p>
            <w:pPr>
              <w:spacing w:line="288" w:lineRule="auto"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 万元（其中申请市级专项经费 3 万元，学校配套 2 万元）</w:t>
            </w:r>
          </w:p>
        </w:tc>
      </w:tr>
      <w:tr>
        <w:tc>
          <w:tcPr>
            <w:tcW w:type="dxa" w:w="1516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姓名</w:t>
            </w:r>
          </w:p>
        </w:tc>
        <w:tc>
          <w:tcPr>
            <w:tcW w:type="dxa" w:w="1516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廖清科</w:t>
            </w:r>
          </w:p>
        </w:tc>
        <w:tc>
          <w:tcPr>
            <w:tcW w:type="dxa" w:w="1516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性别</w:t>
            </w:r>
          </w:p>
        </w:tc>
        <w:tc>
          <w:tcPr>
            <w:tcW w:type="dxa" w:w="1516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男</w:t>
            </w:r>
          </w:p>
        </w:tc>
        <w:tc>
          <w:tcPr>
            <w:tcW w:type="dxa" w:w="1516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出生年月</w:t>
            </w:r>
          </w:p>
        </w:tc>
        <w:tc>
          <w:tcPr>
            <w:tcW w:type="dxa" w:w="1516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516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专业技术职务</w:t>
            </w:r>
          </w:p>
        </w:tc>
        <w:tc>
          <w:tcPr>
            <w:tcW w:type="dxa" w:w="1516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高级工程师</w:t>
            </w:r>
          </w:p>
        </w:tc>
        <w:tc>
          <w:tcPr>
            <w:tcW w:type="dxa" w:w="1516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行政职务</w:t>
            </w:r>
          </w:p>
        </w:tc>
        <w:tc>
          <w:tcPr>
            <w:tcW w:type="dxa" w:w="1516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516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从事专业</w:t>
            </w:r>
          </w:p>
        </w:tc>
        <w:tc>
          <w:tcPr>
            <w:tcW w:type="dxa" w:w="1516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软件工程/人工智能应用</w:t>
            </w:r>
          </w:p>
        </w:tc>
      </w:tr>
    </w:tbl>
    <w:p>
      <w:pPr>
        <w:spacing w:after="120" w:before="0" w:line="360" w:lineRule="auto"/>
      </w:pPr>
    </w:p>
    <w:p>
      <w:pPr>
        <w:spacing w:after="80" w:before="0" w:line="360" w:lineRule="auto"/>
      </w:pPr>
      <w:r>
        <w:rPr>
          <w:rFonts w:ascii="Times New Roman" w:hAnsi="Times New Roman" w:eastAsia="黑体"/>
          <w:b/>
          <w:sz w:val="24"/>
        </w:rPr>
        <w:t>项目组主要成员情况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0"/>
        <w:gridCol w:w="1300"/>
        <w:gridCol w:w="1300"/>
        <w:gridCol w:w="1300"/>
        <w:gridCol w:w="1300"/>
        <w:gridCol w:w="1300"/>
        <w:gridCol w:w="1300"/>
      </w:tblGrid>
      <w:tr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姓名</w:t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年龄</w:t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专业技术职务</w:t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行政职务</w:t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工作单位</w:t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主要研究领域</w:t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承担工作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杨智勇</w:t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教授</w:t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重庆工程职业技术大学</w:t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职业教育/人才培养</w:t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分层分类培养模式设计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谢先伟</w:t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教授</w:t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重庆工程职业技术大学</w:t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教学评价与质量保障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刘方涛</w:t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副教授</w:t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重庆工程职业技术大学</w:t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数据科学/算法</w:t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画像与推荐算法研发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付少华</w:t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副教授</w:t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重庆工程职业技术大学</w:t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产教融合与岗位匹配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舒劲秋</w:t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重庆工程职业技术大学</w:t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</w:r>
          </w:p>
        </w:tc>
        <w:tc>
          <w:tcPr>
            <w:tcW w:type="dxa" w:w="1300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数据治理与平台开发</w:t>
            </w:r>
          </w:p>
        </w:tc>
      </w:tr>
    </w:tbl>
    <w:p>
      <w:pPr>
        <w:spacing w:after="120" w:before="80" w:line="360" w:lineRule="auto"/>
      </w:pPr>
      <w:r>
        <w:rPr>
          <w:rFonts w:ascii="Times New Roman" w:hAnsi="Times New Roman" w:eastAsia="宋体"/>
          <w:b w:val="0"/>
          <w:sz w:val="21"/>
        </w:rPr>
        <w:t>（建议增列1名企业技术专家参与岗位能力模型构建，1名教务/教学诊改人员参与评价机制设计；成员个人信息请据实补填。）</w:t>
      </w:r>
    </w:p>
    <w:p>
      <w:r>
        <w:br w:type="page"/>
      </w:r>
    </w:p>
    <w:p>
      <w:pPr>
        <w:spacing w:after="160" w:before="120" w:line="360" w:lineRule="auto"/>
      </w:pPr>
      <w:r>
        <w:rPr>
          <w:rFonts w:ascii="Times New Roman" w:hAnsi="Times New Roman" w:eastAsia="黑体"/>
          <w:b/>
          <w:sz w:val="30"/>
        </w:rPr>
        <w:t>一、立项依据及目标</w:t>
      </w:r>
    </w:p>
    <w:p>
      <w:pPr>
        <w:spacing w:after="120" w:before="80" w:line="360" w:lineRule="auto"/>
      </w:pPr>
      <w:r>
        <w:rPr>
          <w:rFonts w:ascii="Times New Roman" w:hAnsi="Times New Roman" w:eastAsia="黑体"/>
          <w:b/>
          <w:sz w:val="26"/>
        </w:rPr>
        <w:t>1．现状与背景分析（包括已有研究实践基础）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一）政策导向：发展人工智能赋能的大规模因材施教，是国家、市级与学校改革的共同要求。中共中央、国务院于2025年1月印发的《教育强国建设规划纲要（2024—2035年）》明确提出“探索数字赋能大规模因材施教、创新性教学的有效途径”，并要求“建立基于大数据和人工智能支持的教育评价和科学决策制度”；2026年4月教育部等五部门印发的《“人工智能+教育”行动计划》进一步要求推动智能技术与教育“全要素融合、全过程贯通、全场景覆盖”，促进“规模教育与个性培养相统一”，并对职业教育阶段提出“推动传统专业智能化升级、提高专业设置对产业发展的适配性、有针对性培养新兴岗位高技能人才”。在市级层面，重庆市教委2025年5月印发的《关于加快推进人工智能赋能职业院校关键办学能力提升的通知》，鼓励“推进国产人工智能大模型本地化部署”“通过AI学伴等探索人机协同新模式，实现人工智能驱动的大规模因材施教”；2026年重庆市职业教育教学改革研究项目专设“人工智能赋能职业教育教学改革专项”，并将“职业本科人才培养、贯通人才培养”列为重点和重大项目鼓励方向。在学校层面，我校已由重庆工程职业技术学院升格为重庆工程职业技术大学，进入专科与职业本科并存的办学新阶段，亟须探索面向不同层次学生的分层分类、因材施教培养路径。本课题选题与各级政策导向高度契合，正当其时。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二）现实问题：职业本科人才培养在个性化、分层化、全过程贯通等方面面临突出痛点。一是规模化教学与个性化培养难以兼得，班级授课制下教师难以兼顾学生个体差异，“大规模因材施教”长期缺乏可操作的数据基础与技术工具；二是分层培养标准不清，专科与职业本科在培养目标、能力规格上理应形成梯度差异，实践中却存在“本科专科化、培养同质化”的风险；三是育人过程数据割裂，课堂教学与顶岗实习两个关键环节数据互不连通，学生成长过程“断链”，难以形成贯穿全过程的成长画像；四是人才培养与岗位需求适配度不高，缺乏将学生能力与企业岗位标准精准对接的有效机制；五是新生成长缺乏个性化导航，入学时无法借鉴历届学生成长轨迹获得针对性的学习路径建议。上述问题是制约学校人才培养质量提升的现实瓶颈，也是本课题着力破解的关键。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（三）研究基础：团队已具备扎实的平台、数据、算法与成果积累，落地条件成熟。其一，拥有两套已落地运行、沉淀真实数据的自研系统：顶岗实习系统于2021年1月投入使用，累计访问量约310万人次，已推广至重庆市内3所职业院校、覆盖学生2800余人，完整记录学生实习全过程数据；智慧教学平台完整记录学生每门课程的学习全过程数据，二者为打通“课堂—顶岗”全过程数据提供了现成载体。其二，具备成熟的人工智能技术底座，团队主持完成重庆市重点教改项目“人工智能技术赋能顶岗实习课程思政创新研究”（项目编号GZ222029）及衍生的重庆市青年项目（项目编号KJQN202303428），已掌握并落地基于LSTM的情感倾向分析（11.8万条训练样本，准确率约98%）、用户画像与个性化标签、基于神经协同过滤（NCF）的智能推荐（约8万条交互记录）等技术。其三，取得了可量化的应用成效，前期成果应用后学生周报按时提交率由约75%提升至92%、日报由60%提升至85%、实习报告由50%提升至80%以上，实习报告平均得分提升约15%，约90%的实习单位反映学生职业素养有所提升；并发表EI会议论文、SCI二区论文各1篇，申报发明专利1项，开发软件系统1套。前期研究聚焦顶岗实习单一环节与课程思政单点应用，尚未打通课堂教学环节、未面向职业本科开展分层分类培养，本课题正是在此基础上由“单环节单点”向“课堂到顶岗全过程贯通、面向分层人才培养的个性化育人闭环”的纵深拓展。</w:t>
      </w:r>
    </w:p>
    <w:p>
      <w:pPr>
        <w:spacing w:after="120" w:before="80" w:line="360" w:lineRule="auto"/>
      </w:pPr>
      <w:r>
        <w:rPr>
          <w:rFonts w:ascii="Times New Roman" w:hAnsi="Times New Roman" w:eastAsia="黑体"/>
          <w:b/>
          <w:sz w:val="26"/>
        </w:rPr>
        <w:t>2．研究内容、目标、要解决的教学问题，拟采取的方法和主要特色</w:t>
      </w:r>
    </w:p>
    <w:p>
      <w:pPr>
        <w:spacing w:after="80" w:before="40" w:line="360" w:lineRule="auto"/>
      </w:pPr>
      <w:r>
        <w:rPr>
          <w:rFonts w:ascii="Times New Roman" w:hAnsi="Times New Roman" w:eastAsia="楷体"/>
          <w:b/>
          <w:sz w:val="24"/>
        </w:rPr>
        <w:t>（一）研究目标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总体目标：打通智慧教学平台与顶岗实习系统的数据，构建“数据贯通—成长画像—个性化路径—岗位匹配—反馈优化”的育人闭环，形成职业本科背景下面向“专科—本科”分层分类的人工智能支持个性化培养模式，并在2至3个专业群试点验证，实现“大规模因材施教”的可操作落地。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具体目标：建成1套两系统数据贯通标准与数据治理规范；建成1套覆盖“专科/本科”分层、按专业群分类的学生成长数字画像指标体系与模型；研发个性化学习路径推荐、岗位智能匹配两大功能模块；形成1套可复制推广的分层分类个性化培养模式与实施方案，并取得可量化的育人成效。</w:t>
      </w:r>
    </w:p>
    <w:p>
      <w:pPr>
        <w:spacing w:after="80" w:before="40" w:line="360" w:lineRule="auto"/>
      </w:pPr>
      <w:r>
        <w:rPr>
          <w:rFonts w:ascii="Times New Roman" w:hAnsi="Times New Roman" w:eastAsia="楷体"/>
          <w:b/>
          <w:sz w:val="24"/>
        </w:rPr>
        <w:t>（二）要解决的教学问题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一是如何以数据与技术工具支撑大班教学下的因材施教；二是如何界定并落地专科与职业本科的分层培养标准，避免培养同质化；三是如何打通课堂教学与顶岗实习数据、消除育人过程断链；四是如何提升人才培养与岗位需求的适配度；五是如何为新生提供基于真实数据的个性化成长导航。</w:t>
      </w:r>
    </w:p>
    <w:p>
      <w:pPr>
        <w:spacing w:after="80" w:before="40" w:line="360" w:lineRule="auto"/>
      </w:pPr>
      <w:r>
        <w:rPr>
          <w:rFonts w:ascii="Times New Roman" w:hAnsi="Times New Roman" w:eastAsia="楷体"/>
          <w:b/>
          <w:sz w:val="24"/>
        </w:rPr>
        <w:t>（三）研究内容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研究内容一：“课堂—顶岗”全过程数据贯通与分层分类成长画像构建。调研专科、职业本科及专本贯通学生在学情基础、培养目标与能力规格上的差异，制定智慧教学平台与顶岗实习系统的统一数据标准、学生唯一身份标识及数据脱敏与伦理合规规范；在此基础上，融合课堂学习行为、过程性成绩、技能考核、顶岗实习日报周报及情感倾向等多源数据，构建分层（专科/本科）、分类（专业群）的“知识—技能—素养—心理”成长数字画像指标体系与模型，复用前期LSTM情感分析与用户画像技术。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研究内容二：面向分层培养的个性化学习路径推荐与岗位智能匹配。一方面，基于历届学生成长轨迹与实时画像，运用协同过滤、知识图谱与学习路径规划等方法，为不同层次新生推荐自适应的学习目标、资源与路径，实现“入学即导航”；另一方面，构建企业岗位能力模型，将学生能力画像与岗位标准进行双向匹配，在顶岗实习系统中实现职位推荐与人岗适配，服务产教融合与高质量就业，相关推荐建模复用前期神经协同过滤经验。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研究内容三：数据驱动的育人闭环、评价机制与国产大模型本地化应用。建立“数据贯通—成长画像—个性化路径—岗位匹配—反馈优化”的过程性评价与教学决策反馈机制，形成持续优化的育人闭环；探索DeepSeek等国产大模型本地化部署，支撑AI学伴与人机协同因材施教，在保障数据安全与人工智能伦理的同时，使研究成果可反哺学校人工智能专业实践教学。</w:t>
      </w:r>
    </w:p>
    <w:p>
      <w:pPr>
        <w:spacing w:after="80" w:before="40" w:line="360" w:lineRule="auto"/>
      </w:pPr>
      <w:r>
        <w:rPr>
          <w:rFonts w:ascii="Times New Roman" w:hAnsi="Times New Roman" w:eastAsia="楷体"/>
          <w:b/>
          <w:sz w:val="24"/>
        </w:rPr>
        <w:t>（四）拟采取的方法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综合采用文献研究法（梳理政策与分层培养理论）、调查研究法（问卷与访谈相结合，分析分层培养需求）、数据挖掘与人工智能建模法（开展画像、推荐与匹配建模）、行动研究法（在专业群试点中迭代优化）、对比实验法（设置试点班与对照班开展量化对比）、案例研究法（提炼可推广的培养模式）。</w:t>
      </w:r>
    </w:p>
    <w:p>
      <w:pPr>
        <w:spacing w:after="80" w:before="40" w:line="360" w:lineRule="auto"/>
      </w:pPr>
      <w:r>
        <w:rPr>
          <w:rFonts w:ascii="Times New Roman" w:hAnsi="Times New Roman" w:eastAsia="楷体"/>
          <w:b/>
          <w:sz w:val="24"/>
        </w:rPr>
        <w:t>（五）主要特色与创新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一是真实双平台数据贯通，依托已运行多年、沉淀真实数据的两套自研系统开展研究，落地性强；二是分层分类，紧扣学校职业本科办学新阶段，体现“专科—本科”梯度差异培养；三是全过程闭环，将课堂教学到顶岗实习全过程数据连通，形成完整育人闭环；四是自主可控，采用国产大模型本地化部署，兼顾数据安全，并使研究成果可反哺人工智能专业实践教学；五是前期成果可延续、可复用，研究风险低、见效快。</w:t>
      </w:r>
    </w:p>
    <w:p>
      <w:pPr>
        <w:spacing w:after="120" w:before="80" w:line="360" w:lineRule="auto"/>
      </w:pPr>
      <w:r>
        <w:rPr>
          <w:rFonts w:ascii="Times New Roman" w:hAnsi="Times New Roman" w:eastAsia="黑体"/>
          <w:b/>
          <w:sz w:val="26"/>
        </w:rPr>
        <w:t>3．预期效果与具体成果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第一，模式与制度成果。形成《职业本科背景下AI支持的分层分类个性化培养模式实施方案》1套、《“课堂—顶岗”数据贯通与治理规范（含数据脱敏与伦理）》1套、分层分类学生成长画像指标体系1套。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第二，平台与软件成果。完成智慧教学平台与顶岗实习系统的数据贯通改造，新增“成长画像—个性化学习路径推荐—岗位智能匹配”功能模块，申请软件著作权1至2项。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第三，学术与知识产权成果。发表核心/EI/SCI论文2至3篇，申报发明专利或软件著作权若干项。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第四，应用与示范成果。在2至3个专业群试点应用，覆盖学生不少于800人；通过设置试点班与对照班开展量化对比，预期在个性化学习路径采纳率、学习目标达成率、人岗匹配满意度等指标上取得显著提升；形成典型案例，储备校级、市级教学成果奖申报基础，并向使用本系统的兄弟院校推广。</w:t>
      </w:r>
    </w:p>
    <w:p>
      <w:pPr>
        <w:spacing w:after="160" w:before="120" w:line="360" w:lineRule="auto"/>
      </w:pPr>
      <w:r>
        <w:rPr>
          <w:rFonts w:ascii="Times New Roman" w:hAnsi="Times New Roman" w:eastAsia="黑体"/>
          <w:b/>
          <w:sz w:val="30"/>
        </w:rPr>
        <w:t>二、具体安排及进度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本项目执行周期拟为2026年7月至2028年12月，共30个月，分四个阶段实施。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75"/>
        <w:gridCol w:w="2275"/>
        <w:gridCol w:w="2275"/>
        <w:gridCol w:w="2275"/>
      </w:tblGrid>
      <w:tr>
        <w:tc>
          <w:tcPr>
            <w:tcW w:type="dxa" w:w="1474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阶段</w:t>
            </w:r>
          </w:p>
        </w:tc>
        <w:tc>
          <w:tcPr>
            <w:tcW w:type="dxa" w:w="1814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时间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主要任务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阶段成果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第一阶段</w:t>
              <w:br/>
              <w:t>调研与方案</w:t>
            </w:r>
          </w:p>
        </w:tc>
        <w:tc>
          <w:tcPr>
            <w:tcW w:type="dxa" w:w="1814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2026.07—2026.12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完成分层分类培养需求调研，制定两系统数据贯通标准与数据脱敏、伦理合规规范，完成总体方案设计并组织开题论证。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调研报告、数据标准与治理规范、实施方案、开题论证材料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第二阶段</w:t>
              <w:br/>
              <w:t>建模与研发</w:t>
            </w:r>
          </w:p>
        </w:tc>
        <w:tc>
          <w:tcPr>
            <w:tcW w:type="dxa" w:w="1814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2027.01—2027.09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完成全过程成长数字画像建模，研发个性化学习路径推荐与岗位智能匹配模块，完成国产大模型本地化适配调试。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分层分类画像指标体系、两大功能模块原型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第三阶段</w:t>
              <w:br/>
              <w:t>试点与迭代</w:t>
            </w:r>
          </w:p>
        </w:tc>
        <w:tc>
          <w:tcPr>
            <w:tcW w:type="dxa" w:w="1814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2027.10—2028.06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在2至3个专业群开展试点，设置试点班与对照班开展量化对比，迭代优化各功能模块。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试点数据、对比分析报告、定型功能模块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第四阶段</w:t>
              <w:br/>
              <w:t>总结与推广</w:t>
            </w:r>
          </w:p>
        </w:tc>
        <w:tc>
          <w:tcPr>
            <w:tcW w:type="dxa" w:w="1814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2028.07—2028.12</w:t>
            </w:r>
          </w:p>
        </w:tc>
        <w:tc>
          <w:tcPr>
            <w:tcW w:type="dxa" w:w="4252"/>
            <w:vAlign w:val="center"/>
          </w:tcPr>
          <w:p>
            <w:pPr>
              <w:spacing w:line="288" w:lineRule="auto"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凝练分层分类个性化培养模式，发表论文、申报软件著作权，开展成果推广并完成结项。</w:t>
            </w:r>
          </w:p>
        </w:tc>
        <w:tc>
          <w:tcPr>
            <w:tcW w:type="dxa" w:w="2268"/>
            <w:vAlign w:val="center"/>
          </w:tcPr>
          <w:p>
            <w:pPr>
              <w:spacing w:line="288" w:lineRule="auto"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实施方案、论文、软件著作权、结项报告</w:t>
            </w:r>
          </w:p>
        </w:tc>
      </w:tr>
    </w:tbl>
    <w:p>
      <w:pPr>
        <w:spacing w:after="120" w:before="80" w:line="360" w:lineRule="auto"/>
      </w:pPr>
      <w:r>
        <w:rPr>
          <w:rFonts w:ascii="Times New Roman" w:hAnsi="Times New Roman" w:eastAsia="宋体"/>
          <w:b w:val="0"/>
          <w:sz w:val="21"/>
        </w:rPr>
        <w:t>（如市级专项规定执行周期为24个月，可将第二、三阶段适当压缩并行实施。）</w:t>
      </w:r>
    </w:p>
    <w:p>
      <w:pPr>
        <w:spacing w:after="160" w:before="120" w:line="360" w:lineRule="auto"/>
      </w:pPr>
      <w:r>
        <w:rPr>
          <w:rFonts w:ascii="Times New Roman" w:hAnsi="Times New Roman" w:eastAsia="黑体"/>
          <w:b/>
          <w:sz w:val="30"/>
        </w:rPr>
        <w:t>三、经费概算</w:t>
      </w:r>
    </w:p>
    <w:p>
      <w:pPr>
        <w:spacing w:after="80" w:before="40" w:line="360" w:lineRule="auto"/>
      </w:pPr>
      <w:r>
        <w:rPr>
          <w:rFonts w:ascii="Times New Roman" w:hAnsi="Times New Roman" w:eastAsia="楷体"/>
          <w:b/>
          <w:sz w:val="24"/>
        </w:rPr>
        <w:t>（一）资金来源</w:t>
      </w:r>
    </w:p>
    <w:p>
      <w:pPr>
        <w:spacing w:after="120" w:before="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项目经费由三部分构成：申请重庆市职业教育教学改革研究专项经费3万元；学校配套经费2万元（前期GZ222029重点项目获学校配套经费2万元，本项目建议配套不低于同等额度）；团队自筹及现有条件支撑，依托已建成的智慧教学平台与顶岗实习系统，硬件与基础平台无需重复投入。合计5万元。</w:t>
      </w:r>
    </w:p>
    <w:p>
      <w:pPr>
        <w:spacing w:after="80" w:before="40" w:line="360" w:lineRule="auto"/>
      </w:pPr>
      <w:r>
        <w:rPr>
          <w:rFonts w:ascii="Times New Roman" w:hAnsi="Times New Roman" w:eastAsia="楷体"/>
          <w:b/>
          <w:sz w:val="24"/>
        </w:rPr>
        <w:t>（二）资金运用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75"/>
        <w:gridCol w:w="2275"/>
        <w:gridCol w:w="2275"/>
        <w:gridCol w:w="2275"/>
      </w:tblGrid>
      <w:tr>
        <w:tc>
          <w:tcPr>
            <w:tcW w:type="dxa" w:w="794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序号</w:t>
            </w:r>
          </w:p>
        </w:tc>
        <w:tc>
          <w:tcPr>
            <w:tcW w:type="dxa" w:w="2551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支出科目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金额（元）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用途说明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调研差旅费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8,000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分层培养需求调研、企业岗位调研、试点院校走访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专家咨询费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6,000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开题、中期、结项论证及模式与评价方案咨询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数据标注与学生劳务费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10,000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画像数据标注、试点数据采集、学生参与算法调优劳务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软件研发与算力费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12,000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功能模块开发、国产大模型本地化部署调试、算力及接口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2551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资料印刷与文献费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4,000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问卷印制、资料与文献购置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6</w:t>
            </w:r>
          </w:p>
        </w:tc>
        <w:tc>
          <w:tcPr>
            <w:tcW w:type="dxa" w:w="2551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学术交流与会议费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5,000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教改研讨与经验交流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7</w:t>
            </w:r>
          </w:p>
        </w:tc>
        <w:tc>
          <w:tcPr>
            <w:tcW w:type="dxa" w:w="2551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论文版面与知识产权费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5,000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after="40" w:before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论文发表、软件著作权及专利申报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合计</w:t>
            </w:r>
          </w:p>
        </w:tc>
        <w:tc>
          <w:tcPr>
            <w:tcW w:type="dxa" w:w="1474"/>
            <w:vAlign w:val="center"/>
          </w:tcPr>
          <w:p>
            <w:pPr>
              <w:spacing w:line="288" w:lineRule="auto"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50,000</w:t>
            </w:r>
          </w:p>
        </w:tc>
        <w:tc>
          <w:tcPr>
            <w:tcW w:type="dxa" w:w="4535"/>
            <w:vAlign w:val="center"/>
          </w:tcPr>
          <w:p>
            <w:pPr>
              <w:spacing w:line="288" w:lineRule="auto" w:after="40" w:before="40"/>
              <w:jc w:val="left"/>
            </w:pPr>
            <w:r/>
            <w:r>
              <w:rPr>
                <w:rFonts w:ascii="Times New Roman" w:hAnsi="Times New Roman" w:eastAsia="宋体"/>
                <w:b/>
                <w:sz w:val="20"/>
              </w:rPr>
            </w:r>
          </w:p>
        </w:tc>
      </w:tr>
    </w:tbl>
    <w:p>
      <w:pPr>
        <w:spacing w:after="120" w:before="80" w:line="360" w:lineRule="auto"/>
      </w:pPr>
      <w:r>
        <w:rPr>
          <w:rFonts w:ascii="Times New Roman" w:hAnsi="Times New Roman" w:eastAsia="宋体"/>
          <w:b w:val="0"/>
          <w:sz w:val="21"/>
        </w:rPr>
        <w:t>（上述科目金额可按市级专项实际批复经费等比例调整。）</w:t>
      </w:r>
    </w:p>
    <w:p>
      <w:r>
        <w:br w:type="page"/>
      </w:r>
    </w:p>
    <w:p>
      <w:pPr>
        <w:spacing w:after="160" w:before="120" w:line="360" w:lineRule="auto"/>
      </w:pPr>
      <w:r>
        <w:rPr>
          <w:rFonts w:ascii="Times New Roman" w:hAnsi="Times New Roman" w:eastAsia="黑体"/>
          <w:b/>
          <w:sz w:val="30"/>
        </w:rPr>
        <w:t>四、项目主持人所在部门意见</w:t>
      </w:r>
    </w:p>
    <w:p>
      <w:pPr>
        <w:spacing w:after="40" w:before="0" w:line="360" w:lineRule="auto"/>
      </w:pPr>
    </w:p>
    <w:p>
      <w:pPr>
        <w:spacing w:after="40" w:before="0" w:line="360" w:lineRule="auto"/>
      </w:pPr>
    </w:p>
    <w:p>
      <w:pPr>
        <w:spacing w:after="40" w:before="0" w:line="360" w:lineRule="auto"/>
      </w:pPr>
    </w:p>
    <w:p>
      <w:pPr>
        <w:spacing w:after="40" w:before="0" w:line="360" w:lineRule="auto"/>
      </w:pPr>
    </w:p>
    <w:p>
      <w:pPr>
        <w:spacing w:after="40" w:before="0" w:line="360" w:lineRule="auto"/>
      </w:pPr>
    </w:p>
    <w:p>
      <w:pPr>
        <w:spacing w:line="360" w:lineRule="auto"/>
        <w:jc w:val="right"/>
      </w:pPr>
      <w:r>
        <w:rPr>
          <w:rFonts w:ascii="Times New Roman" w:hAnsi="Times New Roman" w:eastAsia="宋体"/>
          <w:b w:val="0"/>
          <w:sz w:val="24"/>
        </w:rPr>
        <w:t>单位（盖章）：　　　　　　负责人（签章）：</w:t>
      </w:r>
    </w:p>
    <w:p>
      <w:pPr>
        <w:spacing w:line="360" w:lineRule="auto" w:after="360"/>
        <w:jc w:val="right"/>
      </w:pPr>
      <w:r>
        <w:rPr>
          <w:rFonts w:ascii="Times New Roman" w:hAnsi="Times New Roman" w:eastAsia="宋体"/>
          <w:b w:val="0"/>
          <w:sz w:val="24"/>
        </w:rPr>
        <w:t>年    月    日</w:t>
      </w:r>
    </w:p>
    <w:p>
      <w:pPr>
        <w:spacing w:after="160" w:before="120" w:line="360" w:lineRule="auto"/>
      </w:pPr>
      <w:r>
        <w:rPr>
          <w:rFonts w:ascii="Times New Roman" w:hAnsi="Times New Roman" w:eastAsia="黑体"/>
          <w:b/>
          <w:sz w:val="30"/>
        </w:rPr>
        <w:t>五、专家组评审意见</w:t>
      </w:r>
    </w:p>
    <w:p>
      <w:pPr>
        <w:spacing w:after="40" w:before="0" w:line="360" w:lineRule="auto"/>
      </w:pPr>
    </w:p>
    <w:p>
      <w:pPr>
        <w:spacing w:after="40" w:before="0" w:line="360" w:lineRule="auto"/>
      </w:pPr>
    </w:p>
    <w:p>
      <w:pPr>
        <w:spacing w:after="40" w:before="0" w:line="360" w:lineRule="auto"/>
      </w:pPr>
    </w:p>
    <w:p>
      <w:pPr>
        <w:spacing w:after="40" w:before="0" w:line="360" w:lineRule="auto"/>
      </w:pPr>
    </w:p>
    <w:p>
      <w:pPr>
        <w:spacing w:after="40" w:before="0" w:line="360" w:lineRule="auto"/>
      </w:pPr>
    </w:p>
    <w:p>
      <w:pPr>
        <w:spacing w:line="360" w:lineRule="auto"/>
        <w:jc w:val="right"/>
      </w:pPr>
      <w:r>
        <w:rPr>
          <w:rFonts w:ascii="Times New Roman" w:hAnsi="Times New Roman" w:eastAsia="宋体"/>
          <w:b w:val="0"/>
          <w:sz w:val="24"/>
        </w:rPr>
        <w:t>单位（盖章）：　　　　　　负责人（签章）：</w:t>
      </w:r>
    </w:p>
    <w:p>
      <w:pPr>
        <w:spacing w:line="360" w:lineRule="auto" w:after="360"/>
        <w:jc w:val="right"/>
      </w:pPr>
      <w:r>
        <w:rPr>
          <w:rFonts w:ascii="Times New Roman" w:hAnsi="Times New Roman" w:eastAsia="宋体"/>
          <w:b w:val="0"/>
          <w:sz w:val="24"/>
        </w:rPr>
        <w:t>年    月    日</w:t>
      </w:r>
    </w:p>
    <w:p>
      <w:pPr>
        <w:spacing w:after="160" w:before="120" w:line="360" w:lineRule="auto"/>
      </w:pPr>
      <w:r>
        <w:rPr>
          <w:rFonts w:ascii="Times New Roman" w:hAnsi="Times New Roman" w:eastAsia="黑体"/>
          <w:b/>
          <w:sz w:val="30"/>
        </w:rPr>
        <w:t>六、学校意见</w:t>
      </w:r>
    </w:p>
    <w:p>
      <w:pPr>
        <w:spacing w:after="40" w:before="0" w:line="360" w:lineRule="auto"/>
      </w:pPr>
    </w:p>
    <w:p>
      <w:pPr>
        <w:spacing w:after="40" w:before="0" w:line="360" w:lineRule="auto"/>
      </w:pPr>
    </w:p>
    <w:p>
      <w:pPr>
        <w:spacing w:after="40" w:before="0" w:line="360" w:lineRule="auto"/>
      </w:pPr>
    </w:p>
    <w:p>
      <w:pPr>
        <w:spacing w:after="40" w:before="0" w:line="360" w:lineRule="auto"/>
      </w:pPr>
    </w:p>
    <w:p>
      <w:pPr>
        <w:spacing w:after="40" w:before="0" w:line="360" w:lineRule="auto"/>
      </w:pPr>
    </w:p>
    <w:p>
      <w:pPr>
        <w:spacing w:line="360" w:lineRule="auto"/>
        <w:jc w:val="right"/>
      </w:pPr>
      <w:r>
        <w:rPr>
          <w:rFonts w:ascii="Times New Roman" w:hAnsi="Times New Roman" w:eastAsia="宋体"/>
          <w:b w:val="0"/>
          <w:sz w:val="24"/>
        </w:rPr>
        <w:t>单位（盖章）：　　　　　　负责人（签章）：</w:t>
      </w:r>
    </w:p>
    <w:p>
      <w:pPr>
        <w:spacing w:line="360" w:lineRule="auto" w:after="360"/>
        <w:jc w:val="right"/>
      </w:pPr>
      <w:r>
        <w:rPr>
          <w:rFonts w:ascii="Times New Roman" w:hAnsi="Times New Roman" w:eastAsia="宋体"/>
          <w:b w:val="0"/>
          <w:sz w:val="24"/>
        </w:rPr>
        <w:t>年    月    日</w:t>
      </w:r>
    </w:p>
    <w:sectPr w:rsidR="00FC693F" w:rsidRPr="0006063C" w:rsidSect="00034616">
      <w:pgSz w:w="12240" w:h="15840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