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方正小标宋简体"/>
          <w:b/>
          <w:sz w:val="40"/>
        </w:rPr>
        <w:t>数字赋能　标准统一</w:t>
      </w:r>
    </w:p>
    <w:p>
      <w:pPr>
        <w:spacing w:after="320"/>
        <w:jc w:val="center"/>
      </w:pPr>
      <w:r>
        <w:rPr>
          <w:rFonts w:ascii="Times New Roman" w:hAnsi="Times New Roman" w:eastAsia="黑体"/>
          <w:b w:val="0"/>
          <w:sz w:val="30"/>
        </w:rPr>
        <w:t>——师范生教育教学能力认定抽检全流程数字化评价改革实践</w:t>
      </w:r>
    </w:p>
    <w:p>
      <w:pPr>
        <w:spacing w:before="200" w:after="80" w:line="360" w:lineRule="auto"/>
      </w:pPr>
      <w:r>
        <w:rPr>
          <w:rFonts w:ascii="Times New Roman" w:hAnsi="Times New Roman" w:eastAsia="黑体"/>
          <w:b/>
          <w:sz w:val="30"/>
        </w:rPr>
        <w:t>一、案例背景</w:t>
      </w:r>
    </w:p>
    <w:p>
      <w:pPr>
        <w:spacing w:line="360" w:lineRule="auto" w:after="0" w:before="0"/>
        <w:ind w:firstLine="560"/>
      </w:pPr>
      <w:r>
        <w:rPr>
          <w:rFonts w:ascii="Times New Roman" w:hAnsi="Times New Roman" w:eastAsia="仿宋"/>
          <w:b w:val="0"/>
          <w:sz w:val="28"/>
        </w:rPr>
        <w:t>2021年教育部印发《关于推进师范生免试认定中小学教师资格改革的通知》，参加改革的师范生不再参加国家中小学教师资格考试，改由所在高校自主组织教育教学能力考核认定；省级教育行政部门及专业评价机构须对高校认定工作开展抽检，以保障“放权不降标准、自主不失质量”。重庆市师范生培养规模大、院校多、学科专业分布广，传统抽检主要依赖线下集中、纸质举证、人工抽签和专家现场评审，存在四方面突出矛盾：一是抽样不够规范，人工抽取易受主观影响，代表性与公平性难以保证；二是标准难统一，各校指标口径、举证要求不一致，跨校结果不可比；三是过程不透明、难追溯，纸质材料流转环节多、留痕弱；四是数据汇聚难，专家评审分散、进度不可视、结果统计耗时长。在新时代教育评价改革“破五唯”、重过程、强证据、用数据的导向下，亟需以数字化手段重构师范生能力认定抽检的评价流程。</w:t>
      </w:r>
    </w:p>
    <w:p>
      <w:pPr>
        <w:spacing w:before="200" w:after="80" w:line="360" w:lineRule="auto"/>
      </w:pPr>
      <w:r>
        <w:rPr>
          <w:rFonts w:ascii="Times New Roman" w:hAnsi="Times New Roman" w:eastAsia="黑体"/>
          <w:b/>
          <w:sz w:val="30"/>
        </w:rPr>
        <w:t>二、具体举措及实施成效</w:t>
      </w:r>
    </w:p>
    <w:p>
      <w:pPr>
        <w:spacing w:line="360" w:lineRule="auto" w:after="0" w:before="0"/>
        <w:ind w:firstLine="560"/>
      </w:pPr>
      <w:r>
        <w:rPr>
          <w:rFonts w:ascii="Times New Roman" w:hAnsi="Times New Roman" w:eastAsia="仿宋"/>
          <w:b w:val="0"/>
          <w:sz w:val="28"/>
        </w:rPr>
        <w:t>围绕“科学抽样、标准统一、全程留痕、数据驱动”的思路，自主设计开发了“师范生教育教学能力认定抽检平台”，并在重庆市相关高校连续运行【X】年，累计覆盖【XX】所院校、【XX】个师范专业、【XX】名师范生。主要举措与成效如下：</w:t>
      </w:r>
    </w:p>
    <w:p>
      <w:pPr>
        <w:spacing w:line="360" w:lineRule="auto" w:after="0" w:before="0"/>
        <w:ind w:firstLine="560"/>
      </w:pPr>
      <w:r>
        <w:rPr>
          <w:rFonts w:ascii="Times New Roman" w:hAnsi="Times New Roman" w:eastAsia="仿宋"/>
          <w:b w:val="0"/>
          <w:sz w:val="28"/>
        </w:rPr>
        <w:t>（一）构建可配置、可复用的标准化指标工具库。系统以“指标表—二级指标—三级指标—评分项”分层建模，专家依据三级指标打分，支持等级制与分数制并存，并可为各等级配置对应分值、实现“等级自动折算分数”；举证材料与三级指标建立多对多映射，同一材料可被多条指标引用，并可设置最小/最大上传数量、文件大小、是否仅校级管理员上传等约束。工具库支持一键复制，便于跨批次、跨学科快速复用。成效：评价标准由“一校一策”转为“全市一把尺”，指标口径与举证要求统一，跨校结果具备可比性，新建一套评价工具的配置时间显著缩短。</w:t>
      </w:r>
    </w:p>
    <w:p>
      <w:pPr>
        <w:spacing w:line="360" w:lineRule="auto" w:after="0" w:before="0"/>
        <w:ind w:firstLine="560"/>
      </w:pPr>
      <w:r>
        <w:rPr>
          <w:rFonts w:ascii="Times New Roman" w:hAnsi="Times New Roman" w:eastAsia="仿宋"/>
          <w:b w:val="0"/>
          <w:sz w:val="28"/>
        </w:rPr>
        <w:t>（二）实施科学规范的等间隔随机抽样。按专业人数分档动态设置抽取比例，对同校同专业学生按序等距抽取，兼顾抽样的随机性与代表性；抽取结果支持评估院管理员手动微调并确认上传名单，学校可一键导出被抽中学生名单及登录信息以组织上传。成效：抽样过程由“人工抽签”升级为“算法等距抽取＋可追溯确认”，压缩了人为干预空间，抽样的公平性与公信力明显提升。</w:t>
      </w:r>
    </w:p>
    <w:p>
      <w:pPr>
        <w:spacing w:line="360" w:lineRule="auto" w:after="0" w:before="0"/>
        <w:ind w:firstLine="560"/>
      </w:pPr>
      <w:r>
        <w:rPr>
          <w:rFonts w:ascii="Times New Roman" w:hAnsi="Times New Roman" w:eastAsia="仿宋"/>
          <w:b w:val="0"/>
          <w:sz w:val="28"/>
        </w:rPr>
        <w:t>（三）打通“上传—审核—评审—反馈”全流程线上闭环。被抽中学生在线上传PDF/MP4举证材料，经校级管理员审核（并可代传指定为校级上传的举证材料）、评估院管理员复核后进入专家评审；专家基于指标在线查看佐证材料、打分（或评等级）并撰写评审意见；评估院最终以PDF形式向各校反馈整体抽检结果。成效：举证与评审全程电子化、全程留痕，告别纸质材料邮寄与现场集中，评审周期大幅压缩，过程可回溯、可审计。</w:t>
      </w:r>
    </w:p>
    <w:p>
      <w:pPr>
        <w:spacing w:line="360" w:lineRule="auto" w:after="0" w:before="0"/>
        <w:ind w:firstLine="560"/>
      </w:pPr>
      <w:r>
        <w:rPr>
          <w:rFonts w:ascii="Times New Roman" w:hAnsi="Times New Roman" w:eastAsia="仿宋"/>
          <w:b w:val="0"/>
          <w:sz w:val="28"/>
        </w:rPr>
        <w:t>（四）实施灵活的多专家交叉评审与分级权限管理。支持一名学生关联多位专家交叉评审，支持“一名专家评多校全部指标”或“一名专家评指定指标、覆盖多校全部待评学生”等多种配置；系统按系统管理员、评估院管理员、校级管理员、专家、学生分级授权，并留存登录与操作日志。成效：交叉评审降低了单一专家偏差，评分客观性增强；权限与日志机制保障了数据安全与责任可追溯。</w:t>
      </w:r>
    </w:p>
    <w:p>
      <w:pPr>
        <w:spacing w:line="360" w:lineRule="auto" w:after="0" w:before="0"/>
        <w:ind w:firstLine="560"/>
      </w:pPr>
      <w:r>
        <w:rPr>
          <w:rFonts w:ascii="Times New Roman" w:hAnsi="Times New Roman" w:eastAsia="仿宋"/>
          <w:b w:val="0"/>
          <w:sz w:val="28"/>
        </w:rPr>
        <w:t>（五）实现进度可视与数据驱动的结果运用。评估院管理员可实时查看各专家评审进度、调度评审工作，并导出学生总成绩及各指标得分明细。成效：管理者由“事后统计”转向“过程调度”，结果数据可直接用于诊断各校师范生能力短板，反哺人才培养。</w:t>
      </w:r>
    </w:p>
    <w:p>
      <w:pPr>
        <w:spacing w:before="200" w:after="80" w:line="360" w:lineRule="auto"/>
      </w:pPr>
      <w:r>
        <w:rPr>
          <w:rFonts w:ascii="Times New Roman" w:hAnsi="Times New Roman" w:eastAsia="黑体"/>
          <w:b/>
          <w:sz w:val="30"/>
        </w:rPr>
        <w:t>三、经验总结</w:t>
      </w:r>
    </w:p>
    <w:p>
      <w:pPr>
        <w:spacing w:line="360" w:lineRule="auto" w:after="0" w:before="0"/>
        <w:ind w:firstLine="560"/>
      </w:pPr>
      <w:r>
        <w:rPr>
          <w:rFonts w:ascii="Times New Roman" w:hAnsi="Times New Roman" w:eastAsia="仿宋"/>
          <w:b w:val="0"/>
          <w:sz w:val="28"/>
        </w:rPr>
        <w:t>一是坚持问题导向与标准先行。先统一指标与举证标准、再用技术固化标准，是实现跨校可比、公平公正的前提。</w:t>
      </w:r>
    </w:p>
    <w:p>
      <w:pPr>
        <w:spacing w:line="360" w:lineRule="auto" w:after="0" w:before="0"/>
        <w:ind w:firstLine="560"/>
      </w:pPr>
      <w:r>
        <w:rPr>
          <w:rFonts w:ascii="Times New Roman" w:hAnsi="Times New Roman" w:eastAsia="仿宋"/>
          <w:b w:val="0"/>
          <w:sz w:val="28"/>
        </w:rPr>
        <w:t>二是以“过程留痕＋数据说话”落实评价改革精神。全流程电子化使评价从“看材料”转向“重证据、可追溯”，契合“破五唯”与过程性、增值性评价导向。</w:t>
      </w:r>
    </w:p>
    <w:p>
      <w:pPr>
        <w:spacing w:line="360" w:lineRule="auto" w:after="0" w:before="0"/>
        <w:ind w:firstLine="560"/>
      </w:pPr>
      <w:r>
        <w:rPr>
          <w:rFonts w:ascii="Times New Roman" w:hAnsi="Times New Roman" w:eastAsia="仿宋"/>
          <w:b w:val="0"/>
          <w:sz w:val="28"/>
        </w:rPr>
        <w:t>三是注重机制的可配置与可复制。工具库分层建模与一键复制，使平台能以较低成本适配不同学科、不同批次，具备向师范生评价之外同类能力认定抽检场景推广的潜力。</w:t>
      </w:r>
    </w:p>
    <w:p>
      <w:pPr>
        <w:spacing w:line="360" w:lineRule="auto" w:after="0" w:before="0"/>
        <w:ind w:firstLine="560"/>
      </w:pPr>
      <w:r>
        <w:rPr>
          <w:rFonts w:ascii="Times New Roman" w:hAnsi="Times New Roman" w:eastAsia="仿宋"/>
          <w:b w:val="0"/>
          <w:sz w:val="28"/>
        </w:rPr>
        <w:t>四是抽检的根本目的是以评促建。应强化结果反馈与闭环运用，让抽检数据真正服务于师范人才培养质量的持续提升。本案例可为各级评价机构开展大规模、跨单位、标准化的能力认定抽检提供可复制、能推广的实践范式。</w:t>
      </w:r>
    </w:p>
    <w:sectPr w:rsidR="00FC693F" w:rsidRPr="0006063C" w:rsidSect="00034616">
      <w:pgSz w:w="12240" w:h="15840"/>
      <w:pgMar w:top="1417" w:right="147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