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4.5.0</w:t>
      </w:r>
      <w:r>
        <w:rPr>
          <w:rFonts w:ascii="Segoe UI" w:hAnsi="Segoe UI"/>
          <w:color w:val="D99B42"/>
          <w:sz w:val="20"/>
        </w:rPr>
        <w:t xml:space="preserve">  •  </w:t>
      </w:r>
      <w:r>
        <w:rPr>
          <w:rFonts w:ascii="Segoe UI" w:hAnsi="Segoe UI"/>
          <w:color w:val="60726B"/>
          <w:sz w:val="20"/>
        </w:rPr>
        <w:t>Last reviewed September 17,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Shared HS and CSM accounts</w:t>
      </w:r>
    </w:p>
    <w:p>
      <w:pPr>
        <w:numPr>
          <w:ilvl w:val="0"/>
          <w:numId w:val="13"/>
        </w:numPr>
        <w:spacing w:before="0" w:after="80" w:line="300" w:lineRule="auto"/>
        <w:ind w:left="540" w:hanging="271"/>
      </w:pPr>
      <w:r>
        <w:rPr>
          <w:rFonts w:ascii="Segoe UI" w:hAnsi="Segoe UI"/>
          <w:color w:val="19322B"/>
          <w:sz w:val="21"/>
        </w:rPr>
        <w:t>Donation allocations</w:t>
      </w:r>
    </w:p>
    <w:p>
      <w:pPr>
        <w:numPr>
          <w:ilvl w:val="0"/>
          <w:numId w:val="13"/>
        </w:numPr>
        <w:spacing w:before="0" w:after="80" w:line="300" w:lineRule="auto"/>
        <w:ind w:left="540" w:hanging="271"/>
      </w:pPr>
      <w:r>
        <w:rPr>
          <w:rFonts w:ascii="Segoe UI" w:hAnsi="Segoe UI"/>
          <w:color w:val="19322B"/>
          <w:sz w:val="21"/>
        </w:rPr>
        <w:t>Individual MMT accounts and phone storage</w:t>
      </w:r>
    </w:p>
    <w:p>
      <w:pPr>
        <w:numPr>
          <w:ilvl w:val="0"/>
          <w:numId w:val="13"/>
        </w:numPr>
        <w:spacing w:before="0" w:after="80" w:line="300" w:lineRule="auto"/>
        <w:ind w:left="540" w:hanging="271"/>
      </w:pPr>
      <w:r>
        <w:rPr>
          <w:rFonts w:ascii="Segoe UI" w:hAnsi="Segoe UI"/>
          <w:color w:val="19322B"/>
          <w:sz w:val="21"/>
        </w:rPr>
        <w:t>Managed public destinations</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Ministry Management workspace</w:t>
      </w:r>
    </w:p>
    <w:p>
      <w:pPr>
        <w:numPr>
          <w:ilvl w:val="0"/>
          <w:numId w:val="13"/>
        </w:numPr>
        <w:spacing w:before="0" w:after="80" w:line="300" w:lineRule="auto"/>
        <w:ind w:left="540" w:hanging="271"/>
      </w:pPr>
      <w:r>
        <w:rPr>
          <w:rFonts w:ascii="Segoe UI" w:hAnsi="Segoe UI"/>
          <w:color w:val="19322B"/>
          <w:sz w:val="21"/>
        </w:rPr>
        <w:t>Expanded bookkeeping workspace</w:t>
      </w:r>
    </w:p>
    <w:p>
      <w:pPr>
        <w:numPr>
          <w:ilvl w:val="0"/>
          <w:numId w:val="13"/>
        </w:numPr>
        <w:spacing w:before="0" w:after="80" w:line="300" w:lineRule="auto"/>
        <w:ind w:left="540" w:hanging="271"/>
      </w:pPr>
      <w:r>
        <w:rPr>
          <w:rFonts w:ascii="Segoe UI" w:hAnsi="Segoe UI"/>
          <w:color w:val="19322B"/>
          <w:sz w:val="21"/>
        </w:rPr>
        <w:t>User deletion</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Consolas" w:hAnsi="Consolas"/>
                <w:color w:val="173F35"/>
                <w:sz w:val="17"/>
                <w:shd w:fill="EDF5F1"/>
              </w:rPr>
              <w:t>hope-sojourns-forms-test</w:t>
            </w:r>
          </w:p>
        </w:tc>
        <w:tc>
          <w:tcPr>
            <w:tcW w:type="dxa" w:w="1760"/>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Shared trip credentials are write-only: the Worker never returns a plaintext password.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A replacement requires a new password and the existing save route revokes all traveler sessions.</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failed trip messages, incomplete budgets, and extensible ministry events. Source records determine action status; the inbox does not post a second payment. Current lists are bounded to 250 recent requests, payments, and custom events, and 100 failed messages and incomplete budgets.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keepNext w:val="0"/>
        <w:spacing w:after="0" w:before="0" w:line="20" w:lineRule="exact"/>
      </w:pPr>
      <w:r>
        <w:rPr>
          <w:sz w:val="2"/>
        </w:rPr>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