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4.80</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Three public service offerings and corporate leadership</w:t>
            </w:r>
          </w:p>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email composer</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Three public service offerings and corporate leadership</w:t>
      </w:r>
    </w:p>
    <w:p>
      <w:r>
        <w:rPr>
          <w:rFonts w:ascii="Segoe UI" w:hAnsi="Segoe UI"/>
          <w:color w:val="19322B"/>
          <w:sz w:val="22"/>
        </w:rPr>
        <w:t>The home page introduces Mission Journeys, Internship Placements, and Corporate Humanitarian Journeys before the destination grid. Use equally sized clickable cards on a forest gradient, warm paper surfaces, colored top accents, and rounded rectangular number badges. Each card opens one shared detail panel below the row. Keep the group independent of Our approach. Minimize pathway details and Escape close the panel and return focus. Use aria-expanded, aria-controls, hidden, and inert to reflect its state. Stack cards and panel columns on mobile and respect reduced motion. Keep the photographic hero, Georgia headings, and shared palette.</w:t>
      </w:r>
    </w:p>
    <w:p>
      <w:r>
        <w:rPr>
          <w:rFonts w:ascii="Segoe UI" w:hAnsi="Segoe UI"/>
          <w:color w:val="19322B"/>
          <w:sz w:val="22"/>
        </w:rPr>
        <w:t xml:space="preserve">Place the journey collage in its own paper section beneath the service cards. The six-panel collage excludes Nice and Belize. Each panel has a small location label; the Halifax panel and local destination tile use the verified English town view from Beacon Hill. The user requested removal of the AI-content text inside the collage. Preserve proportions and Mexico/Halifax credits and licenses. Use </w:t>
      </w:r>
      <w:r>
        <w:rPr>
          <w:rFonts w:ascii="Consolas" w:hAnsi="Consolas"/>
          <w:color w:val="173F35"/>
          <w:sz w:val="20"/>
          <w:shd w:fill="EDF5F1"/>
        </w:rPr>
        <w:t>assets/journey-collage-labeled.png</w:t>
      </w:r>
      <w:r>
        <w:rPr>
          <w:rFonts w:ascii="Segoe UI" w:hAnsi="Segoe UI"/>
          <w:color w:val="19322B"/>
          <w:sz w:val="22"/>
        </w:rPr>
        <w:t xml:space="preserve">; the tile uses </w:t>
      </w:r>
      <w:r>
        <w:rPr>
          <w:rFonts w:ascii="Consolas" w:hAnsi="Consolas"/>
          <w:color w:val="173F35"/>
          <w:sz w:val="20"/>
          <w:shd w:fill="EDF5F1"/>
        </w:rPr>
        <w:t>assets/halifax-england-beacon-hill.jpg</w:t>
      </w:r>
      <w:r>
        <w:rPr>
          <w:rFonts w:ascii="Segoe UI" w:hAnsi="Segoe UI"/>
          <w:color w:val="19322B"/>
          <w:sz w:val="22"/>
        </w:rPr>
        <w:t>.</w:t>
      </w:r>
    </w:p>
    <w:p>
      <w:r>
        <w:rPr>
          <w:rFonts w:ascii="Segoe UI" w:hAnsi="Segoe UI"/>
          <w:color w:val="19322B"/>
          <w:sz w:val="22"/>
        </w:rPr>
        <w:t xml:space="preserve">Corporate pages at </w:t>
      </w:r>
      <w:r>
        <w:rPr>
          <w:rFonts w:ascii="Consolas" w:hAnsi="Consolas"/>
          <w:color w:val="173F35"/>
          <w:sz w:val="20"/>
          <w:shd w:fill="EDF5F1"/>
        </w:rPr>
        <w:t>/corporate-journeys/</w:t>
      </w:r>
      <w:r>
        <w:rPr>
          <w:rFonts w:ascii="Segoe UI" w:hAnsi="Segoe UI"/>
          <w:color w:val="19322B"/>
          <w:sz w:val="22"/>
        </w:rPr>
        <w:t xml:space="preserve"> and </w:t>
      </w:r>
      <w:r>
        <w:rPr>
          <w:rFonts w:ascii="Consolas" w:hAnsi="Consolas"/>
          <w:color w:val="173F35"/>
          <w:sz w:val="20"/>
          <w:shd w:fill="EDF5F1"/>
        </w:rPr>
        <w:t>/corporate-journeys/curriculum/</w:t>
      </w:r>
      <w:r>
        <w:rPr>
          <w:rFonts w:ascii="Segoe UI" w:hAnsi="Segoe UI"/>
          <w:color w:val="19322B"/>
          <w:sz w:val="22"/>
        </w:rPr>
        <w:t xml:space="preserve"> use the existing paper, forest, gold, and coral tokens. The corporate introduction pairs a text lead with a forest panel; cards and stages stack on narrower screens. Shared navigation wraps on desktop and retains the Menu disclosure on mobile. The curriculum is titled Leadership Transformation, with eight readable sessions, anchor navigation, semantic lists, and a horizontally scrollable comparison table. Print rules affecting navigation are scoped to the curriculum body.</w:t>
      </w:r>
    </w:p>
    <w:p>
      <w:r>
        <w:rPr>
          <w:rFonts w:ascii="Segoe UI" w:hAnsi="Segoe UI"/>
          <w:color w:val="19322B"/>
          <w:sz w:val="22"/>
        </w:rPr>
        <w:t>Describe heart transformation as the foundation for observable leadership practice with staff, clients, and peers. Honor the agency, strengths, and freely shared stories of local people. Avoid guaranteed transformation, staged testimony, assumed consent, and claims that community members exist to educate visiting executives. State the Christian foundation and make spiritual reflection voluntary. These pages are local review only until release approval.</w:t>
      </w:r>
    </w:p>
    <w:p>
      <w:pPr>
        <w:pStyle w:val="Heading1"/>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Contact email composer</w:t>
      </w:r>
    </w:p>
    <w:p>
      <w:r>
        <w:rPr>
          <w:rFonts w:ascii="Segoe UI" w:hAnsi="Segoe UI"/>
          <w:color w:val="19322B"/>
          <w:sz w:val="22"/>
        </w:rPr>
        <w:t>Use the existing Selected contacts toolbar and primary Email selected contacts action in People and Contact spreadsheet. Contact checkboxes have person-specific accessible labels; the selected count remains visible across filters and pages. Keep the compact contact name, checkbox, and summary expansion controls distinct. Disable composing with no selection or without Contacts edit access.</w:t>
      </w:r>
    </w:p>
    <w:p>
      <w:r>
        <w:rPr>
          <w:rFonts w:ascii="Segoe UI" w:hAnsi="Segoe UI"/>
          <w:color w:val="19322B"/>
          <w:sz w:val="22"/>
        </w:rPr>
        <w:t>The contact email composer uses the existing native modal dialog and paper/forest palette, with a maximum desktop width of 850 pixels, a viewport-limited scroll area, and a fixed To: admin@hopesojourns.com line and full-width labeled BCC (hidden recipients), Subject, and Message fields. Wrap action buttons on phones. Display the standard Hope Sojourns footer below Message with its oval logo, Brent Kern signature, phone number, Christian Steps Ministries affiliation, WitLooL explanation, and both ministry links. The footer is included automatically; preserve its image proportions. Explain recipient separators, the 50-address limit, and that BCC hides addresses from other recipients beside the field. Show skipped contacts, configuration issues, and send status in readable text. Test capture must say that no email was sent; live acceptance must say Accepted for delivery. Use expandable history rows that distinguish visible To from hidden BCC or original visible recipients, with wrapped addresses and preserved message line breaks. Escape and Close protect unsent text from accidental dismissal and restore focus to the opening control.</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4.80. Changed the contact composer to show fixed To and editable BCC hidden recipients, privacy help, and accurate historical recipient labels.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4.79. Added contact selection, accessible group email modal, responsive fields, standard signed footer preview, and truthful delivery and retry states.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4.78. Restyled service pathways with distinct number badges, equal-height clickable cards, and an independent shared detail panel. Added the collage excluding Nice and Belize, then small location labels, a verified Halifax town photo, and user-requested removal of the image's AI-content text. Existing palette and keyboard behavior. Local review only.</w:t>
      </w:r>
    </w:p>
    <w:p>
      <w:pPr>
        <w:keepLines/>
        <w:numPr>
          <w:ilvl w:val="0"/>
          <w:numId w:val="10"/>
        </w:numPr>
        <w:spacing w:before="0" w:after="80" w:line="300" w:lineRule="auto"/>
        <w:ind w:left="540" w:hanging="271"/>
      </w:pPr>
      <w:r>
        <w:rPr>
          <w:rFonts w:ascii="Segoe UI" w:hAnsi="Segoe UI"/>
          <w:color w:val="19322B"/>
          <w:sz w:val="22"/>
        </w:rPr>
        <w:t>October 26, 2026 — Version 4.77. Rebalanced the home page around three service offerings; added corporate humanitarian journeys and the Leadership Transformation curriculum with responsive layouts and shared navigation. Existing palette only. Localhost review; no release authorized.</w:t>
      </w:r>
    </w:p>
    <w:p>
      <w:pPr>
        <w:keepLines/>
        <w:numPr>
          <w:ilvl w:val="0"/>
          <w:numId w:val="10"/>
        </w:numPr>
        <w:spacing w:before="0" w:after="80" w:line="300" w:lineRule="auto"/>
        <w:ind w:left="540" w:hanging="271"/>
      </w:pPr>
      <w:r>
        <w:rPr>
          <w:rFonts w:ascii="Segoe UI" w:hAnsi="Segoe UI"/>
          <w:color w:val="19322B"/>
          <w:sz w:val="22"/>
        </w:rPr>
        <w:t>October 26, 2026 — Version 4.76. Expanded the Mexico destination with a proposed six-day rhythm, partner-led service, preparation, explicit estimated pricing and transparent stewardship. Reused the Mexico brochure outreach photo at its full aspect ratio with a contextual caption. Scoped Mexico styles reuse palette tokens and preserve other destination layouts.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4.75. Destination interest forms include optional Age range radio buttons, Occupation (Student if still in school), and Church. Age choices preserve guardian and parental-consent guidance beside the minor ranges. Additional data displays matching age labels and editable age/occupation fields, reusing Church / ministry. Existing contact-match review presents each new value as an explicit checkbox; no new colors.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