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4.21</w:t>
      </w:r>
      <w:r>
        <w:rPr>
          <w:rFonts w:ascii="Segoe UI" w:hAnsi="Segoe UI"/>
          <w:color w:val="D99B42"/>
          <w:sz w:val="20"/>
        </w:rPr>
        <w:t xml:space="preserve">  •  </w:t>
      </w:r>
      <w:r>
        <w:rPr>
          <w:rFonts w:ascii="Segoe UI" w:hAnsi="Segoe UI"/>
          <w:color w:val="60726B"/>
          <w:sz w:val="20"/>
        </w:rPr>
        <w:t>Last reviewed October 2,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20" w:lineRule="exact"/>
        <w:ind w:left="540" w:hanging="271"/>
      </w:pPr>
      <w:r>
        <w:rPr>
          <w:rFonts w:ascii="Segoe UI" w:hAnsi="Segoe UI"/>
          <w:color w:val="19322B"/>
          <w:sz w:val="20"/>
        </w:rPr>
        <w:t>Home financial summary</w:t>
      </w:r>
    </w:p>
    <w:p>
      <w:pPr>
        <w:numPr>
          <w:ilvl w:val="0"/>
          <w:numId w:val="13"/>
        </w:numPr>
        <w:spacing w:before="0" w:after="0" w:line="220" w:lineRule="exact"/>
        <w:ind w:left="540" w:hanging="271"/>
      </w:pPr>
      <w:r>
        <w:rPr>
          <w:rFonts w:ascii="Segoe UI" w:hAnsi="Segoe UI"/>
          <w:color w:val="19322B"/>
          <w:sz w:val="20"/>
        </w:rPr>
        <w:t>Contact column filters</w:t>
      </w:r>
    </w:p>
    <w:p>
      <w:pPr>
        <w:numPr>
          <w:ilvl w:val="0"/>
          <w:numId w:val="13"/>
        </w:numPr>
        <w:spacing w:before="0" w:after="0" w:line="220" w:lineRule="exact"/>
        <w:ind w:left="540" w:hanging="271"/>
      </w:pPr>
      <w:r>
        <w:rPr>
          <w:rFonts w:ascii="Segoe UI" w:hAnsi="Segoe UI"/>
          <w:color w:val="19322B"/>
          <w:sz w:val="20"/>
        </w:rPr>
        <w:t>Itinerary categories and traveler views</w:t>
      </w:r>
    </w:p>
    <w:p>
      <w:pPr>
        <w:numPr>
          <w:ilvl w:val="0"/>
          <w:numId w:val="13"/>
        </w:numPr>
        <w:spacing w:before="0" w:after="0" w:line="220" w:lineRule="exact"/>
        <w:ind w:left="540" w:hanging="271"/>
      </w:pPr>
      <w:r>
        <w:rPr>
          <w:rFonts w:ascii="Segoe UI" w:hAnsi="Segoe UI"/>
          <w:color w:val="19322B"/>
          <w:sz w:val="20"/>
        </w:rPr>
        <w:t>Scripture reference links and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Finance labels and expense review</w:t>
      </w:r>
    </w:p>
    <w:p>
      <w:pPr>
        <w:numPr>
          <w:ilvl w:val="0"/>
          <w:numId w:val="13"/>
        </w:numPr>
        <w:spacing w:before="0" w:after="0" w:line="220" w:lineRule="exact"/>
        <w:ind w:left="540" w:hanging="271"/>
      </w:pPr>
      <w:r>
        <w:rPr>
          <w:rFonts w:ascii="Segoe UI" w:hAnsi="Segoe UI"/>
          <w:color w:val="19322B"/>
          <w:sz w:val="20"/>
        </w:rPr>
        <w:t>Private user guide and portal footer</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Planning workspace and interested submission review</w:t>
      </w:r>
    </w:p>
    <w:p>
      <w:pPr>
        <w:numPr>
          <w:ilvl w:val="0"/>
          <w:numId w:val="13"/>
        </w:numPr>
        <w:spacing w:before="0" w:after="0" w:line="220" w:lineRule="exact"/>
        <w:ind w:left="540" w:hanging="271"/>
      </w:pPr>
      <w:r>
        <w:rPr>
          <w:rFonts w:ascii="Segoe UI" w:hAnsi="Segoe UI"/>
          <w:color w:val="19322B"/>
          <w:sz w:val="20"/>
        </w:rPr>
        <w:t>Trip photos and past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Collapsible devotional days</w:t>
      </w:r>
    </w:p>
    <w:p>
      <w:pPr>
        <w:numPr>
          <w:ilvl w:val="0"/>
          <w:numId w:val="13"/>
        </w:numPr>
        <w:spacing w:before="0" w:after="0" w:line="220" w:lineRule="exact"/>
        <w:ind w:left="540" w:hanging="271"/>
      </w:pPr>
      <w:r>
        <w:rPr>
          <w:rFonts w:ascii="Segoe UI" w:hAnsi="Segoe UI"/>
          <w:color w:val="19322B"/>
          <w:sz w:val="20"/>
        </w:rPr>
        <w:t>Traveler study typography</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Current shared trip password</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comparison and bulk editing</w:t>
      </w:r>
    </w:p>
    <w:p>
      <w:pPr>
        <w:numPr>
          <w:ilvl w:val="0"/>
          <w:numId w:val="13"/>
        </w:numPr>
        <w:spacing w:before="0" w:after="0" w:line="220" w:lineRule="exact"/>
        <w:ind w:left="540" w:hanging="271"/>
      </w:pPr>
      <w:r>
        <w:rPr>
          <w:rFonts w:ascii="Segoe UI" w:hAnsi="Segoe UI"/>
          <w:color w:val="19322B"/>
          <w:sz w:val="20"/>
        </w:rPr>
        <w:t>Shared portal account management</w:t>
      </w:r>
    </w:p>
    <w:p>
      <w:pPr>
        <w:numPr>
          <w:ilvl w:val="0"/>
          <w:numId w:val="13"/>
        </w:numPr>
        <w:spacing w:before="0" w:after="0" w:line="220" w:lineRule="exact"/>
        <w:ind w:left="540" w:hanging="271"/>
      </w:pPr>
      <w:r>
        <w:rPr>
          <w:rFonts w:ascii="Segoe UI" w:hAnsi="Segoe UI"/>
          <w:color w:val="19322B"/>
          <w:sz w:val="20"/>
        </w:rPr>
        <w:t>Donation split editor</w:t>
      </w:r>
    </w:p>
    <w:p>
      <w:pPr>
        <w:numPr>
          <w:ilvl w:val="0"/>
          <w:numId w:val="13"/>
        </w:numPr>
        <w:spacing w:before="0" w:after="0" w:line="220" w:lineRule="exact"/>
        <w:ind w:left="540" w:hanging="271"/>
      </w:pPr>
      <w:r>
        <w:rPr>
          <w:rFonts w:ascii="Segoe UI" w:hAnsi="Segoe UI"/>
          <w:color w:val="19322B"/>
          <w:sz w:val="20"/>
        </w:rPr>
        <w:t>MMT account and access screens</w:t>
      </w:r>
    </w:p>
    <w:p>
      <w:pPr>
        <w:numPr>
          <w:ilvl w:val="0"/>
          <w:numId w:val="13"/>
        </w:numPr>
        <w:spacing w:before="0" w:after="0" w:line="220" w:lineRule="exact"/>
        <w:ind w:left="540" w:hanging="271"/>
      </w:pPr>
      <w:r>
        <w:rPr>
          <w:rFonts w:ascii="Segoe UI" w:hAnsi="Segoe UI"/>
          <w:color w:val="19322B"/>
          <w:sz w:val="20"/>
        </w:rPr>
        <w:t>Destination management patterns</w:t>
      </w:r>
    </w:p>
    <w:p>
      <w:pPr>
        <w:numPr>
          <w:ilvl w:val="0"/>
          <w:numId w:val="13"/>
        </w:numPr>
        <w:spacing w:before="0" w:after="0" w:line="220" w:lineRule="exact"/>
        <w:ind w:left="540" w:hanging="271"/>
      </w:pPr>
      <w:r>
        <w:rPr>
          <w:rFonts w:ascii="Segoe UI" w:hAnsi="Segoe UI"/>
          <w:color w:val="19322B"/>
          <w:sz w:val="20"/>
        </w:rPr>
        <w:t>Purpose</w:t>
      </w:r>
    </w:p>
    <w:p>
      <w:pPr>
        <w:numPr>
          <w:ilvl w:val="0"/>
          <w:numId w:val="13"/>
        </w:numPr>
        <w:spacing w:before="0" w:after="0" w:line="220" w:lineRule="exact"/>
        <w:ind w:left="540" w:hanging="271"/>
      </w:pPr>
      <w:r>
        <w:rPr>
          <w:rFonts w:ascii="Segoe UI" w:hAnsi="Segoe UI"/>
          <w:color w:val="19322B"/>
          <w:sz w:val="20"/>
        </w:rPr>
        <w:t>Canonical design sources</w:t>
      </w:r>
    </w:p>
    <w:p>
      <w:pPr>
        <w:numPr>
          <w:ilvl w:val="0"/>
          <w:numId w:val="13"/>
        </w:numPr>
        <w:spacing w:before="0" w:after="0" w:line="220" w:lineRule="exact"/>
        <w:ind w:left="540" w:hanging="271"/>
      </w:pPr>
      <w:r>
        <w:rPr>
          <w:rFonts w:ascii="Segoe UI" w:hAnsi="Segoe UI"/>
          <w:color w:val="19322B"/>
          <w:sz w:val="20"/>
        </w:rPr>
        <w:t>Brand foundation</w:t>
      </w:r>
    </w:p>
    <w:p>
      <w:pPr>
        <w:numPr>
          <w:ilvl w:val="0"/>
          <w:numId w:val="13"/>
        </w:numPr>
        <w:spacing w:before="0" w:after="0" w:line="220" w:lineRule="exact"/>
        <w:ind w:left="540" w:hanging="271"/>
      </w:pPr>
      <w:r>
        <w:rPr>
          <w:rFonts w:ascii="Segoe UI" w:hAnsi="Segoe UI"/>
          <w:color w:val="19322B"/>
          <w:sz w:val="20"/>
        </w:rPr>
        <w:t>Logo system</w:t>
      </w:r>
    </w:p>
    <w:p>
      <w:pPr>
        <w:numPr>
          <w:ilvl w:val="0"/>
          <w:numId w:val="13"/>
        </w:numPr>
        <w:spacing w:before="0" w:after="0" w:line="220" w:lineRule="exact"/>
        <w:ind w:left="540" w:hanging="271"/>
      </w:pPr>
      <w:r>
        <w:rPr>
          <w:rFonts w:ascii="Segoe UI" w:hAnsi="Segoe UI"/>
          <w:color w:val="19322B"/>
          <w:sz w:val="20"/>
        </w:rPr>
        <w:t>Color system</w:t>
      </w:r>
    </w:p>
    <w:p>
      <w:pPr>
        <w:numPr>
          <w:ilvl w:val="0"/>
          <w:numId w:val="13"/>
        </w:numPr>
        <w:spacing w:before="0" w:after="0" w:line="220" w:lineRule="exact"/>
        <w:ind w:left="540" w:hanging="271"/>
      </w:pPr>
      <w:r>
        <w:rPr>
          <w:rFonts w:ascii="Segoe UI" w:hAnsi="Segoe UI"/>
          <w:color w:val="19322B"/>
          <w:sz w:val="20"/>
        </w:rPr>
        <w:t>Typography</w:t>
      </w:r>
    </w:p>
    <w:p>
      <w:pPr>
        <w:numPr>
          <w:ilvl w:val="0"/>
          <w:numId w:val="13"/>
        </w:numPr>
        <w:spacing w:before="0" w:after="0" w:line="220" w:lineRule="exact"/>
        <w:ind w:left="540" w:hanging="271"/>
      </w:pPr>
      <w:r>
        <w:rPr>
          <w:rFonts w:ascii="Segoe UI" w:hAnsi="Segoe UI"/>
          <w:color w:val="19322B"/>
          <w:sz w:val="20"/>
        </w:rPr>
        <w:t>Layout and spacing</w:t>
      </w:r>
    </w:p>
    <w:p>
      <w:pPr>
        <w:numPr>
          <w:ilvl w:val="0"/>
          <w:numId w:val="13"/>
        </w:numPr>
        <w:spacing w:before="0" w:after="0" w:line="220" w:lineRule="exact"/>
        <w:ind w:left="540" w:hanging="271"/>
      </w:pPr>
      <w:r>
        <w:rPr>
          <w:rFonts w:ascii="Segoe UI" w:hAnsi="Segoe UI"/>
          <w:color w:val="19322B"/>
          <w:sz w:val="20"/>
        </w:rPr>
        <w:t>Core components</w:t>
      </w:r>
    </w:p>
    <w:p>
      <w:pPr>
        <w:numPr>
          <w:ilvl w:val="0"/>
          <w:numId w:val="13"/>
        </w:numPr>
        <w:spacing w:before="0" w:after="0" w:line="220" w:lineRule="exact"/>
        <w:ind w:left="540" w:hanging="271"/>
      </w:pPr>
      <w:r>
        <w:rPr>
          <w:rFonts w:ascii="Segoe UI" w:hAnsi="Segoe UI"/>
          <w:color w:val="19322B"/>
          <w:sz w:val="20"/>
        </w:rPr>
        <w:t>Photography and media</w:t>
      </w:r>
    </w:p>
    <w:p>
      <w:pPr>
        <w:numPr>
          <w:ilvl w:val="0"/>
          <w:numId w:val="13"/>
        </w:numPr>
        <w:spacing w:before="0" w:after="0" w:line="220" w:lineRule="exact"/>
        <w:ind w:left="540" w:hanging="271"/>
      </w:pPr>
      <w:r>
        <w:rPr>
          <w:rFonts w:ascii="Segoe UI" w:hAnsi="Segoe UI"/>
          <w:color w:val="19322B"/>
          <w:sz w:val="20"/>
        </w:rPr>
        <w:t>Voice and content standards</w:t>
      </w:r>
    </w:p>
    <w:p>
      <w:pPr>
        <w:numPr>
          <w:ilvl w:val="0"/>
          <w:numId w:val="13"/>
        </w:numPr>
        <w:spacing w:before="0" w:after="0" w:line="220" w:lineRule="exact"/>
        <w:ind w:left="540" w:hanging="271"/>
      </w:pPr>
      <w:r>
        <w:rPr>
          <w:rFonts w:ascii="Segoe UI" w:hAnsi="Segoe UI"/>
          <w:color w:val="19322B"/>
          <w:sz w:val="20"/>
        </w:rPr>
        <w:t>Accessibility standards</w:t>
      </w:r>
    </w:p>
    <w:p>
      <w:pPr>
        <w:numPr>
          <w:ilvl w:val="0"/>
          <w:numId w:val="13"/>
        </w:numPr>
        <w:spacing w:before="0" w:after="0" w:line="220" w:lineRule="exact"/>
        <w:ind w:left="540" w:hanging="271"/>
      </w:pPr>
      <w:r>
        <w:rPr>
          <w:rFonts w:ascii="Segoe UI" w:hAnsi="Segoe UI"/>
          <w:color w:val="19322B"/>
          <w:sz w:val="20"/>
        </w:rPr>
        <w:t>Motion standards</w:t>
      </w:r>
    </w:p>
    <w:p>
      <w:pPr>
        <w:numPr>
          <w:ilvl w:val="0"/>
          <w:numId w:val="13"/>
        </w:numPr>
        <w:spacing w:before="0" w:after="0" w:line="220" w:lineRule="exact"/>
        <w:ind w:left="540" w:hanging="271"/>
      </w:pPr>
      <w:r>
        <w:rPr>
          <w:rFonts w:ascii="Segoe UI" w:hAnsi="Segoe UI"/>
          <w:color w:val="19322B"/>
          <w:sz w:val="20"/>
        </w:rPr>
        <w:t>New page checklist</w:t>
      </w:r>
    </w:p>
    <w:p>
      <w:pPr>
        <w:numPr>
          <w:ilvl w:val="0"/>
          <w:numId w:val="13"/>
        </w:numPr>
        <w:spacing w:before="0" w:after="0" w:line="220" w:lineRule="exact"/>
        <w:ind w:left="540" w:hanging="271"/>
      </w:pPr>
      <w:r>
        <w:rPr>
          <w:rFonts w:ascii="Segoe UI" w:hAnsi="Segoe UI"/>
          <w:color w:val="19322B"/>
          <w:sz w:val="20"/>
        </w:rPr>
        <w:t>Governance</w:t>
      </w:r>
    </w:p>
    <w:p>
      <w:pPr>
        <w:numPr>
          <w:ilvl w:val="0"/>
          <w:numId w:val="13"/>
        </w:numPr>
        <w:spacing w:before="0" w:after="0" w:line="220" w:lineRule="exact"/>
        <w:ind w:left="540" w:hanging="271"/>
      </w:pPr>
      <w:r>
        <w:rPr>
          <w:rFonts w:ascii="Segoe UI" w:hAnsi="Segoe UI"/>
          <w:color w:val="19322B"/>
          <w:sz w:val="20"/>
        </w:rPr>
        <w:t>Ministry Management interface</w:t>
      </w:r>
    </w:p>
    <w:p>
      <w:pPr>
        <w:numPr>
          <w:ilvl w:val="0"/>
          <w:numId w:val="13"/>
        </w:numPr>
        <w:spacing w:before="0" w:after="0" w:line="220" w:lineRule="exact"/>
        <w:ind w:left="540" w:hanging="271"/>
      </w:pPr>
      <w:r>
        <w:rPr>
          <w:rFonts w:ascii="Segoe UI" w:hAnsi="Segoe UI"/>
          <w:color w:val="19322B"/>
          <w:sz w:val="20"/>
        </w:rPr>
        <w:t>Expanded bookkeeping screens</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gift presentation</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Home financial summary</w:t>
      </w:r>
    </w:p>
    <w:p>
      <w:r>
        <w:rPr>
          <w:rFonts w:ascii="Segoe UI" w:hAnsi="Segoe UI"/>
          <w:color w:val="19322B"/>
          <w:sz w:val="22"/>
        </w:rPr>
        <w:t>Keep this summary compact: 1.35rem amounts, 0.8rem tile labels, 1.15rem section heading and 0.95rem period headings. Use 0.75rem by 1rem tile padding and 1rem panel padding. Preserve paper and forest-wash surfaces, rounded tiles, visible focus and responsive stacking.</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the full image in a new tab.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a new tab. Image links include an accessible full-size label.</w:t>
      </w:r>
    </w:p>
    <w:p>
      <w:r>
        <w:rPr>
          <w:rFonts w:ascii="Segoe UI" w:hAnsi="Segoe UI"/>
          <w:color w:val="19322B"/>
          <w:sz w:val="22"/>
        </w:rPr>
        <w:t>Photos and videos share the traveler gallery and are sorted together by assigned date. Video tiles show a preview frame when supported and a clearly labeled Play video button. Clicking opens a larger, keyboard-accessible dialog with playback controls; Close or Escape stops playback and returns focus to the tile. Videos never autoplay in the gallery. Saved videos are MP4 or WebM and remain limited to 20 MB per file. Video cards retain titles, dates, descriptions, captions, credits, and visibility controls.</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Gift thank-you email acknowledgments</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Revision history</w:t>
      </w:r>
    </w:p>
    <w:p>
      <w:r>
        <w:rPr>
          <w:rFonts w:ascii="Segoe UI" w:hAnsi="Segoe UI"/>
          <w:color w:val="19322B"/>
          <w:sz w:val="22"/>
        </w:rPr>
        <w:t>October 2, 2026 — Version 4.21: Reduced Home summary typography and spacing while preserving tiles and colors; local pending release.</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24, 2026</w:t>
            </w:r>
          </w:p>
        </w:tc>
        <w:tc>
          <w:tcPr>
            <w:tcW w:type="dxa" w:w="3580"/>
            <w:vAlign w:val="center"/>
          </w:tcPr>
          <w:p>
            <w:pPr>
              <w:spacing w:before="0" w:after="30" w:line="240" w:lineRule="auto"/>
            </w:pPr>
            <w:r>
              <w:rPr>
                <w:rFonts w:ascii="Segoe UI" w:hAnsi="Segoe UI"/>
                <w:color w:val="19322B"/>
                <w:sz w:val="16"/>
              </w:rPr>
              <w:t>4.13</w:t>
            </w:r>
          </w:p>
        </w:tc>
        <w:tc>
          <w:tcPr>
            <w:tcW w:type="dxa" w:w="3580"/>
            <w:vAlign w:val="center"/>
          </w:tcPr>
          <w:p>
            <w:pPr>
              <w:spacing w:before="0" w:after="3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