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3.1</w:t>
      </w:r>
      <w:r>
        <w:rPr>
          <w:rFonts w:ascii="Segoe UI" w:hAnsi="Segoe UI"/>
          <w:color w:val="D99B42"/>
          <w:sz w:val="20"/>
        </w:rPr>
        <w:t xml:space="preserve">  •  </w:t>
      </w:r>
      <w:r>
        <w:rPr>
          <w:rFonts w:ascii="Segoe UI" w:hAnsi="Segoe UI"/>
          <w:color w:val="60726B"/>
          <w:sz w:val="20"/>
        </w:rPr>
        <w:t>Last reviewed September 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pPr>
        <w:keepLines/>
        <w:numPr>
          <w:ilvl w:val="0"/>
          <w:numId w:val="15"/>
        </w:numPr>
        <w:spacing w:before="0" w:after="80" w:line="300" w:lineRule="auto"/>
        <w:ind w:left="540" w:hanging="271"/>
      </w:pPr>
      <w:r>
        <w:rPr>
          <w:rFonts w:ascii="Consolas" w:hAnsi="Consolas"/>
          <w:color w:val="173F35"/>
          <w:sz w:val="20"/>
          <w:shd w:fill="EDF5F1"/>
        </w:rPr>
        <w:t>0009_csm_distribution_inbox.sql</w:t>
      </w:r>
    </w:p>
    <w:p>
      <w:pPr>
        <w:keepLines/>
        <w:numPr>
          <w:ilvl w:val="0"/>
          <w:numId w:val="15"/>
        </w:numPr>
        <w:spacing w:before="0" w:after="80" w:line="300" w:lineRule="auto"/>
        <w:ind w:left="540" w:hanging="271"/>
      </w:pPr>
      <w:r>
        <w:rPr>
          <w:rFonts w:ascii="Consolas" w:hAnsi="Consolas"/>
          <w:color w:val="173F35"/>
          <w:sz w:val="20"/>
          <w:shd w:fill="EDF5F1"/>
        </w:rPr>
        <w:t>0010_last_contacted_note.sql</w:t>
      </w:r>
    </w:p>
    <w:p>
      <w:pPr>
        <w:keepLines/>
        <w:numPr>
          <w:ilvl w:val="0"/>
          <w:numId w:val="15"/>
        </w:numPr>
        <w:spacing w:before="0" w:after="80" w:line="300" w:lineRule="auto"/>
        <w:ind w:left="540" w:hanging="271"/>
      </w:pPr>
      <w:r>
        <w:rPr>
          <w:rFonts w:ascii="Consolas" w:hAnsi="Consolas"/>
          <w:color w:val="173F35"/>
          <w:sz w:val="20"/>
          <w:shd w:fill="EDF5F1"/>
        </w:rPr>
        <w:t>0011_unified_ledger.sql</w:t>
      </w:r>
    </w:p>
    <w:p>
      <w:pPr>
        <w:keepNext/>
        <w:keepLines/>
        <w:numPr>
          <w:ilvl w:val="0"/>
          <w:numId w:val="15"/>
        </w:numPr>
        <w:spacing w:before="0" w:after="80" w:line="300" w:lineRule="auto"/>
        <w:ind w:left="540" w:hanging="271"/>
      </w:pPr>
      <w:r>
        <w:rPr>
          <w:rFonts w:ascii="Consolas" w:hAnsi="Consolas"/>
          <w:color w:val="173F35"/>
          <w:sz w:val="20"/>
          <w:shd w:fill="EDF5F1"/>
        </w:rPr>
        <w:t>0012_ledger_entry_management.sql</w:t>
      </w:r>
    </w:p>
    <w:p>
      <w:pPr>
        <w:keepLines/>
        <w:numPr>
          <w:ilvl w:val="0"/>
          <w:numId w:val="15"/>
        </w:numPr>
        <w:spacing w:before="0" w:after="80" w:line="300" w:lineRule="auto"/>
        <w:ind w:left="540" w:hanging="271"/>
      </w:pPr>
      <w:r>
        <w:rPr>
          <w:rFonts w:ascii="Consolas" w:hAnsi="Consolas"/>
          <w:color w:val="173F35"/>
          <w:sz w:val="20"/>
          <w:shd w:fill="EDF5F1"/>
        </w:rPr>
        <w:t>0013_ledger_receipts.sql</w:t>
      </w:r>
    </w:p>
    <w:p>
      <w:pPr>
        <w:keepLines/>
        <w:numPr>
          <w:ilvl w:val="0"/>
          <w:numId w:val="15"/>
        </w:numPr>
        <w:spacing w:before="0" w:after="80" w:line="300" w:lineRule="auto"/>
        <w:ind w:left="540" w:hanging="271"/>
      </w:pPr>
      <w:r>
        <w:rPr>
          <w:rFonts w:ascii="Consolas" w:hAnsi="Consolas"/>
          <w:color w:val="173F35"/>
          <w:sz w:val="20"/>
          <w:shd w:fill="EDF5F1"/>
        </w:rPr>
        <w:t>0014_trip_platform.sql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full checklist. </w:t>
      </w:r>
      <w:r>
        <w:rPr>
          <w:rFonts w:ascii="Consolas" w:hAnsi="Consolas"/>
          <w:color w:val="173F35"/>
          <w:sz w:val="20"/>
          <w:shd w:fill="EDF5F1"/>
        </w:rPr>
        <w:t>openNextGuideStep()</w:t>
      </w:r>
      <w:r>
        <w:rPr>
          <w:rFonts w:ascii="Segoe UI" w:hAnsi="Segoe UI"/>
          <w:color w:val="19322B"/>
          <w:sz w:val="22"/>
        </w:rPr>
        <w:t xml:space="preserve"> either opens the trip editor or activates and focuses the relevant workspace form. Required prerequisite notices remain active when guided help is disabled.</w:t>
      </w:r>
    </w:p>
    <w:p>
      <w:r>
        <w:rPr>
          <w:rFonts w:ascii="Segoe UI" w:hAnsi="Segoe UI"/>
          <w:color w:val="19322B"/>
          <w:sz w:val="22"/>
        </w:rPr>
        <w:t xml:space="preserve">Trip invitations are hashed bearer tokens.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Create </w:t>
      </w:r>
      <w:r>
        <w:rPr>
          <w:rFonts w:ascii="Consolas" w:hAnsi="Consolas"/>
          <w:color w:val="173F35"/>
          <w:sz w:val="20"/>
          <w:shd w:fill="EDF5F1"/>
        </w:rPr>
        <w:t>hopesojourns@gmail.com</w:t>
      </w:r>
      <w:r>
        <w:rPr>
          <w:rFonts w:ascii="Segoe UI" w:hAnsi="Segoe UI"/>
          <w:color w:val="19322B"/>
          <w:sz w:val="22"/>
        </w:rPr>
        <w:t xml:space="preserve">, verify it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