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4.12</w:t>
      </w:r>
      <w:r>
        <w:rPr>
          <w:rFonts w:ascii="Segoe UI" w:hAnsi="Segoe UI"/>
          <w:color w:val="D99B42"/>
          <w:sz w:val="20"/>
        </w:rPr>
        <w:t xml:space="preserve">  •  </w:t>
      </w:r>
      <w:r>
        <w:rPr>
          <w:rFonts w:ascii="Segoe UI" w:hAnsi="Segoe UI"/>
          <w:color w:val="60726B"/>
          <w:sz w:val="20"/>
        </w:rPr>
        <w:t>Last reviewed September 24,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0" w:line="240" w:lineRule="auto"/>
        <w:ind w:left="540" w:hanging="271"/>
      </w:pPr>
      <w:r>
        <w:rPr>
          <w:rFonts w:ascii="Segoe UI" w:hAnsi="Segoe UI"/>
          <w:color w:val="19322B"/>
          <w:sz w:val="21"/>
        </w:rPr>
        <w:t>Contact giving history</w:t>
      </w:r>
    </w:p>
    <w:p>
      <w:pPr>
        <w:numPr>
          <w:ilvl w:val="0"/>
          <w:numId w:val="13"/>
        </w:numPr>
        <w:spacing w:before="0" w:after="0" w:line="240" w:lineRule="auto"/>
        <w:ind w:left="540" w:hanging="271"/>
      </w:pPr>
      <w:r>
        <w:rPr>
          <w:rFonts w:ascii="Segoe UI" w:hAnsi="Segoe UI"/>
          <w:color w:val="19322B"/>
          <w:sz w:val="21"/>
        </w:rPr>
        <w:t>Portal planning and contact review</w:t>
      </w:r>
    </w:p>
    <w:p>
      <w:pPr>
        <w:numPr>
          <w:ilvl w:val="0"/>
          <w:numId w:val="13"/>
        </w:numPr>
        <w:spacing w:before="0" w:after="0" w:line="240" w:lineRule="auto"/>
        <w:ind w:left="540" w:hanging="271"/>
      </w:pPr>
      <w:r>
        <w:rPr>
          <w:rFonts w:ascii="Segoe UI" w:hAnsi="Segoe UI"/>
          <w:color w:val="19322B"/>
          <w:sz w:val="21"/>
        </w:rPr>
        <w:t>Trip memories and public trip stories</w:t>
      </w:r>
    </w:p>
    <w:p>
      <w:pPr>
        <w:numPr>
          <w:ilvl w:val="0"/>
          <w:numId w:val="13"/>
        </w:numPr>
        <w:spacing w:before="0" w:after="0" w:line="240" w:lineRule="auto"/>
        <w:ind w:left="540" w:hanging="271"/>
      </w:pPr>
      <w:r>
        <w:rPr>
          <w:rFonts w:ascii="Segoe UI" w:hAnsi="Segoe UI"/>
          <w:color w:val="19322B"/>
          <w:sz w:val="21"/>
        </w:rPr>
        <w:t>Shared MMT navigation</w:t>
      </w:r>
    </w:p>
    <w:p>
      <w:pPr>
        <w:numPr>
          <w:ilvl w:val="0"/>
          <w:numId w:val="13"/>
        </w:numPr>
        <w:spacing w:before="0" w:after="0" w:line="240" w:lineRule="auto"/>
        <w:ind w:left="540" w:hanging="271"/>
      </w:pPr>
      <w:r>
        <w:rPr>
          <w:rFonts w:ascii="Segoe UI" w:hAnsi="Segoe UI"/>
          <w:color w:val="19322B"/>
          <w:sz w:val="21"/>
        </w:rPr>
        <w:t>Devotional library</w:t>
      </w:r>
    </w:p>
    <w:p>
      <w:pPr>
        <w:numPr>
          <w:ilvl w:val="0"/>
          <w:numId w:val="13"/>
        </w:numPr>
        <w:spacing w:before="0" w:after="0" w:line="240" w:lineRule="auto"/>
        <w:ind w:left="540" w:hanging="271"/>
      </w:pPr>
      <w:r>
        <w:rPr>
          <w:rFonts w:ascii="Segoe UI" w:hAnsi="Segoe UI"/>
          <w:color w:val="19322B"/>
          <w:sz w:val="21"/>
        </w:rPr>
        <w:t>Devotional day navigation</w:t>
      </w:r>
    </w:p>
    <w:p>
      <w:pPr>
        <w:numPr>
          <w:ilvl w:val="0"/>
          <w:numId w:val="13"/>
        </w:numPr>
        <w:spacing w:before="0" w:after="0" w:line="240" w:lineRule="auto"/>
        <w:ind w:left="540" w:hanging="271"/>
      </w:pPr>
      <w:r>
        <w:rPr>
          <w:rFonts w:ascii="Segoe UI" w:hAnsi="Segoe UI"/>
          <w:color w:val="19322B"/>
          <w:sz w:val="21"/>
        </w:rPr>
        <w:t>Traveler study formatting</w:t>
      </w:r>
    </w:p>
    <w:p>
      <w:pPr>
        <w:numPr>
          <w:ilvl w:val="0"/>
          <w:numId w:val="13"/>
        </w:numPr>
        <w:spacing w:before="0" w:after="0" w:line="240" w:lineRule="auto"/>
        <w:ind w:left="540" w:hanging="271"/>
      </w:pPr>
      <w:r>
        <w:rPr>
          <w:rFonts w:ascii="Segoe UI" w:hAnsi="Segoe UI"/>
          <w:color w:val="19322B"/>
          <w:sz w:val="21"/>
        </w:rPr>
        <w:t>Dated trip preview layout</w:t>
      </w:r>
    </w:p>
    <w:p>
      <w:pPr>
        <w:numPr>
          <w:ilvl w:val="0"/>
          <w:numId w:val="13"/>
        </w:numPr>
        <w:spacing w:before="0" w:after="0" w:line="240" w:lineRule="auto"/>
        <w:ind w:left="540" w:hanging="271"/>
      </w:pPr>
      <w:r>
        <w:rPr>
          <w:rFonts w:ascii="Segoe UI" w:hAnsi="Segoe UI"/>
          <w:color w:val="19322B"/>
          <w:sz w:val="21"/>
        </w:rPr>
        <w:t>Shared trip password display</w:t>
      </w:r>
    </w:p>
    <w:p>
      <w:pPr>
        <w:numPr>
          <w:ilvl w:val="0"/>
          <w:numId w:val="13"/>
        </w:numPr>
        <w:spacing w:before="0" w:after="0" w:line="240" w:lineRule="auto"/>
        <w:ind w:left="540" w:hanging="271"/>
      </w:pPr>
      <w:r>
        <w:rPr>
          <w:rFonts w:ascii="Segoe UI" w:hAnsi="Segoe UI"/>
          <w:color w:val="19322B"/>
          <w:sz w:val="21"/>
        </w:rPr>
        <w:t>Inbox completion and trash</w:t>
      </w:r>
    </w:p>
    <w:p>
      <w:pPr>
        <w:numPr>
          <w:ilvl w:val="0"/>
          <w:numId w:val="13"/>
        </w:numPr>
        <w:spacing w:before="0" w:after="0" w:line="240" w:lineRule="auto"/>
        <w:ind w:left="540" w:hanging="271"/>
      </w:pPr>
      <w:r>
        <w:rPr>
          <w:rFonts w:ascii="Segoe UI" w:hAnsi="Segoe UI"/>
          <w:color w:val="19322B"/>
          <w:sz w:val="21"/>
        </w:rPr>
        <w:t>Contact directory and spreadsheet</w:t>
      </w:r>
    </w:p>
    <w:p>
      <w:pPr>
        <w:numPr>
          <w:ilvl w:val="0"/>
          <w:numId w:val="13"/>
        </w:numPr>
        <w:spacing w:before="0" w:after="0" w:line="240" w:lineRule="auto"/>
        <w:ind w:left="540" w:hanging="271"/>
      </w:pPr>
      <w:r>
        <w:rPr>
          <w:rFonts w:ascii="Segoe UI" w:hAnsi="Segoe UI"/>
          <w:color w:val="19322B"/>
          <w:sz w:val="21"/>
        </w:rPr>
        <w:t>Trip budget funding and bulk updates</w:t>
      </w:r>
    </w:p>
    <w:p>
      <w:pPr>
        <w:numPr>
          <w:ilvl w:val="0"/>
          <w:numId w:val="13"/>
        </w:numPr>
        <w:spacing w:before="0" w:after="0" w:line="240" w:lineRule="auto"/>
        <w:ind w:left="540" w:hanging="271"/>
      </w:pPr>
      <w:r>
        <w:rPr>
          <w:rFonts w:ascii="Segoe UI" w:hAnsi="Segoe UI"/>
          <w:color w:val="19322B"/>
          <w:sz w:val="21"/>
        </w:rPr>
        <w:t>Shared HS and CSM accounts</w:t>
      </w:r>
    </w:p>
    <w:p>
      <w:pPr>
        <w:numPr>
          <w:ilvl w:val="0"/>
          <w:numId w:val="13"/>
        </w:numPr>
        <w:spacing w:before="0" w:after="0" w:line="240" w:lineRule="auto"/>
        <w:ind w:left="540" w:hanging="271"/>
      </w:pPr>
      <w:r>
        <w:rPr>
          <w:rFonts w:ascii="Segoe UI" w:hAnsi="Segoe UI"/>
          <w:color w:val="19322B"/>
          <w:sz w:val="21"/>
        </w:rPr>
        <w:t>Donation allocations</w:t>
      </w:r>
    </w:p>
    <w:p>
      <w:pPr>
        <w:numPr>
          <w:ilvl w:val="0"/>
          <w:numId w:val="13"/>
        </w:numPr>
        <w:spacing w:before="0" w:after="0" w:line="240" w:lineRule="auto"/>
        <w:ind w:left="540" w:hanging="271"/>
      </w:pPr>
      <w:r>
        <w:rPr>
          <w:rFonts w:ascii="Segoe UI" w:hAnsi="Segoe UI"/>
          <w:color w:val="19322B"/>
          <w:sz w:val="21"/>
        </w:rPr>
        <w:t>Individual MMT accounts and phone storage</w:t>
      </w:r>
    </w:p>
    <w:p>
      <w:pPr>
        <w:numPr>
          <w:ilvl w:val="0"/>
          <w:numId w:val="13"/>
        </w:numPr>
        <w:spacing w:before="0" w:after="0" w:line="240" w:lineRule="auto"/>
        <w:ind w:left="540" w:hanging="271"/>
      </w:pPr>
      <w:r>
        <w:rPr>
          <w:rFonts w:ascii="Segoe UI" w:hAnsi="Segoe UI"/>
          <w:color w:val="19322B"/>
          <w:sz w:val="21"/>
        </w:rPr>
        <w:t>Managed public destinations</w:t>
      </w:r>
    </w:p>
    <w:p>
      <w:pPr>
        <w:numPr>
          <w:ilvl w:val="0"/>
          <w:numId w:val="13"/>
        </w:numPr>
        <w:spacing w:before="0" w:after="0" w:line="240" w:lineRule="auto"/>
        <w:ind w:left="540" w:hanging="271"/>
      </w:pPr>
      <w:r>
        <w:rPr>
          <w:rFonts w:ascii="Segoe UI" w:hAnsi="Segoe UI"/>
          <w:color w:val="19322B"/>
          <w:sz w:val="21"/>
        </w:rPr>
        <w:t>Purpose and operating rules</w:t>
      </w:r>
    </w:p>
    <w:p>
      <w:pPr>
        <w:numPr>
          <w:ilvl w:val="0"/>
          <w:numId w:val="13"/>
        </w:numPr>
        <w:spacing w:before="0" w:after="0" w:line="240" w:lineRule="auto"/>
        <w:ind w:left="540" w:hanging="271"/>
      </w:pPr>
      <w:r>
        <w:rPr>
          <w:rFonts w:ascii="Segoe UI" w:hAnsi="Segoe UI"/>
          <w:color w:val="19322B"/>
          <w:sz w:val="21"/>
        </w:rPr>
        <w:t>System overview</w:t>
      </w:r>
    </w:p>
    <w:p>
      <w:pPr>
        <w:numPr>
          <w:ilvl w:val="0"/>
          <w:numId w:val="13"/>
        </w:numPr>
        <w:spacing w:before="0" w:after="0" w:line="240" w:lineRule="auto"/>
        <w:ind w:left="540" w:hanging="271"/>
      </w:pPr>
      <w:r>
        <w:rPr>
          <w:rFonts w:ascii="Segoe UI" w:hAnsi="Segoe UI"/>
          <w:color w:val="19322B"/>
          <w:sz w:val="21"/>
        </w:rPr>
        <w:t>Important locations</w:t>
      </w:r>
    </w:p>
    <w:p>
      <w:pPr>
        <w:numPr>
          <w:ilvl w:val="0"/>
          <w:numId w:val="13"/>
        </w:numPr>
        <w:spacing w:before="0" w:after="0" w:line="240" w:lineRule="auto"/>
        <w:ind w:left="540" w:hanging="271"/>
      </w:pPr>
      <w:r>
        <w:rPr>
          <w:rFonts w:ascii="Segoe UI" w:hAnsi="Segoe UI"/>
          <w:color w:val="19322B"/>
          <w:sz w:val="21"/>
        </w:rPr>
        <w:t>Public route inventory</w:t>
      </w:r>
    </w:p>
    <w:p>
      <w:pPr>
        <w:numPr>
          <w:ilvl w:val="0"/>
          <w:numId w:val="13"/>
        </w:numPr>
        <w:spacing w:before="0" w:after="0" w:line="240" w:lineRule="auto"/>
        <w:ind w:left="540" w:hanging="271"/>
      </w:pPr>
      <w:r>
        <w:rPr>
          <w:rFonts w:ascii="Segoe UI" w:hAnsi="Segoe UI"/>
          <w:color w:val="19322B"/>
          <w:sz w:val="21"/>
        </w:rPr>
        <w:t>Shared frontend architecture</w:t>
      </w:r>
    </w:p>
    <w:p>
      <w:pPr>
        <w:numPr>
          <w:ilvl w:val="0"/>
          <w:numId w:val="13"/>
        </w:numPr>
        <w:spacing w:before="0" w:after="0" w:line="240" w:lineRule="auto"/>
        <w:ind w:left="540" w:hanging="271"/>
      </w:pPr>
      <w:r>
        <w:rPr>
          <w:rFonts w:ascii="Segoe UI" w:hAnsi="Segoe UI"/>
          <w:color w:val="19322B"/>
          <w:sz w:val="21"/>
        </w:rPr>
        <w:t>Content and data files</w:t>
      </w:r>
    </w:p>
    <w:p>
      <w:pPr>
        <w:numPr>
          <w:ilvl w:val="0"/>
          <w:numId w:val="13"/>
        </w:numPr>
        <w:spacing w:before="0" w:after="0" w:line="240" w:lineRule="auto"/>
        <w:ind w:left="540" w:hanging="271"/>
      </w:pPr>
      <w:r>
        <w:rPr>
          <w:rFonts w:ascii="Segoe UI" w:hAnsi="Segoe UI"/>
          <w:color w:val="19322B"/>
          <w:sz w:val="21"/>
        </w:rPr>
        <w:t>Interest form and response portal</w:t>
      </w:r>
    </w:p>
    <w:p>
      <w:pPr>
        <w:numPr>
          <w:ilvl w:val="0"/>
          <w:numId w:val="13"/>
        </w:numPr>
        <w:spacing w:before="0" w:after="0" w:line="240" w:lineRule="auto"/>
        <w:ind w:left="540" w:hanging="271"/>
      </w:pPr>
      <w:r>
        <w:rPr>
          <w:rFonts w:ascii="Segoe UI" w:hAnsi="Segoe UI"/>
          <w:color w:val="19322B"/>
          <w:sz w:val="21"/>
        </w:rPr>
        <w:t>Giving and PayPal</w:t>
      </w:r>
    </w:p>
    <w:p>
      <w:pPr>
        <w:numPr>
          <w:ilvl w:val="0"/>
          <w:numId w:val="13"/>
        </w:numPr>
        <w:spacing w:before="0" w:after="0" w:line="240" w:lineRule="auto"/>
        <w:ind w:left="540" w:hanging="271"/>
      </w:pPr>
      <w:r>
        <w:rPr>
          <w:rFonts w:ascii="Segoe UI" w:hAnsi="Segoe UI"/>
          <w:color w:val="19322B"/>
          <w:sz w:val="21"/>
        </w:rPr>
        <w:t>Scheduling</w:t>
      </w:r>
    </w:p>
    <w:p>
      <w:pPr>
        <w:numPr>
          <w:ilvl w:val="0"/>
          <w:numId w:val="13"/>
        </w:numPr>
        <w:spacing w:before="0" w:after="0" w:line="240" w:lineRule="auto"/>
        <w:ind w:left="540" w:hanging="271"/>
      </w:pPr>
      <w:r>
        <w:rPr>
          <w:rFonts w:ascii="Segoe UI" w:hAnsi="Segoe UI"/>
          <w:color w:val="19322B"/>
          <w:sz w:val="21"/>
        </w:rPr>
        <w:t>Local development</w:t>
      </w:r>
    </w:p>
    <w:p>
      <w:pPr>
        <w:numPr>
          <w:ilvl w:val="0"/>
          <w:numId w:val="13"/>
        </w:numPr>
        <w:spacing w:before="0" w:after="0" w:line="240" w:lineRule="auto"/>
        <w:ind w:left="540" w:hanging="271"/>
      </w:pPr>
      <w:r>
        <w:rPr>
          <w:rFonts w:ascii="Segoe UI" w:hAnsi="Segoe UI"/>
          <w:color w:val="19322B"/>
          <w:sz w:val="21"/>
        </w:rPr>
        <w:t>Validation standards</w:t>
      </w:r>
    </w:p>
    <w:p>
      <w:pPr>
        <w:numPr>
          <w:ilvl w:val="0"/>
          <w:numId w:val="13"/>
        </w:numPr>
        <w:spacing w:before="0" w:after="0" w:line="240" w:lineRule="auto"/>
        <w:ind w:left="540" w:hanging="271"/>
      </w:pPr>
      <w:r>
        <w:rPr>
          <w:rFonts w:ascii="Segoe UI" w:hAnsi="Segoe UI"/>
          <w:color w:val="19322B"/>
          <w:sz w:val="21"/>
        </w:rPr>
        <w:t>Common change workflows</w:t>
      </w:r>
    </w:p>
    <w:p>
      <w:pPr>
        <w:numPr>
          <w:ilvl w:val="0"/>
          <w:numId w:val="13"/>
        </w:numPr>
        <w:spacing w:before="0" w:after="0" w:line="240" w:lineRule="auto"/>
        <w:ind w:left="540" w:hanging="271"/>
      </w:pPr>
      <w:r>
        <w:rPr>
          <w:rFonts w:ascii="Segoe UI" w:hAnsi="Segoe UI"/>
          <w:color w:val="19322B"/>
          <w:sz w:val="21"/>
        </w:rPr>
        <w:t>Security and privacy rules</w:t>
      </w:r>
    </w:p>
    <w:p>
      <w:pPr>
        <w:numPr>
          <w:ilvl w:val="0"/>
          <w:numId w:val="13"/>
        </w:numPr>
        <w:spacing w:before="0" w:after="0" w:line="240" w:lineRule="auto"/>
        <w:ind w:left="540" w:hanging="271"/>
      </w:pPr>
      <w:r>
        <w:rPr>
          <w:rFonts w:ascii="Segoe UI" w:hAnsi="Segoe UI"/>
          <w:color w:val="19322B"/>
          <w:sz w:val="21"/>
        </w:rPr>
        <w:t>Deployment boundaries</w:t>
      </w:r>
    </w:p>
    <w:p>
      <w:pPr>
        <w:numPr>
          <w:ilvl w:val="0"/>
          <w:numId w:val="13"/>
        </w:numPr>
        <w:spacing w:before="0" w:after="0" w:line="240" w:lineRule="auto"/>
        <w:ind w:left="540" w:hanging="271"/>
      </w:pPr>
      <w:r>
        <w:rPr>
          <w:rFonts w:ascii="Segoe UI" w:hAnsi="Segoe UI"/>
          <w:color w:val="19322B"/>
          <w:sz w:val="21"/>
        </w:rPr>
        <w:t>Documentation maintenance</w:t>
      </w:r>
    </w:p>
    <w:p>
      <w:pPr>
        <w:numPr>
          <w:ilvl w:val="0"/>
          <w:numId w:val="13"/>
        </w:numPr>
        <w:spacing w:before="0" w:after="0" w:line="240" w:lineRule="auto"/>
        <w:ind w:left="540" w:hanging="271"/>
      </w:pPr>
      <w:r>
        <w:rPr>
          <w:rFonts w:ascii="Segoe UI" w:hAnsi="Segoe UI"/>
          <w:color w:val="19322B"/>
          <w:sz w:val="21"/>
        </w:rPr>
        <w:t>Handoff checklist</w:t>
      </w:r>
    </w:p>
    <w:p>
      <w:pPr>
        <w:numPr>
          <w:ilvl w:val="0"/>
          <w:numId w:val="13"/>
        </w:numPr>
        <w:spacing w:before="0" w:after="0" w:line="240" w:lineRule="auto"/>
        <w:ind w:left="540" w:hanging="271"/>
      </w:pPr>
      <w:r>
        <w:rPr>
          <w:rFonts w:ascii="Segoe UI" w:hAnsi="Segoe UI"/>
          <w:color w:val="19322B"/>
          <w:sz w:val="21"/>
        </w:rPr>
        <w:t>Ministry Management workspace</w:t>
      </w:r>
    </w:p>
    <w:p>
      <w:pPr>
        <w:numPr>
          <w:ilvl w:val="0"/>
          <w:numId w:val="13"/>
        </w:numPr>
        <w:spacing w:before="0" w:after="0" w:line="240" w:lineRule="auto"/>
        <w:ind w:left="540" w:hanging="271"/>
      </w:pPr>
      <w:r>
        <w:rPr>
          <w:rFonts w:ascii="Segoe UI" w:hAnsi="Segoe UI"/>
          <w:color w:val="19322B"/>
          <w:sz w:val="21"/>
        </w:rPr>
        <w:t>Expanded bookkeeping workspace</w:t>
      </w:r>
    </w:p>
    <w:p>
      <w:pPr>
        <w:numPr>
          <w:ilvl w:val="0"/>
          <w:numId w:val="13"/>
        </w:numPr>
        <w:spacing w:before="0" w:after="0" w:line="240" w:lineRule="auto"/>
        <w:ind w:left="540" w:hanging="271"/>
      </w:pPr>
      <w:r>
        <w:rPr>
          <w:rFonts w:ascii="Segoe UI" w:hAnsi="Segoe UI"/>
          <w:color w:val="19322B"/>
          <w:sz w:val="21"/>
        </w:rPr>
        <w:t>User deletion</w:t>
      </w:r>
    </w:p>
    <w:p>
      <w:pPr>
        <w:numPr>
          <w:ilvl w:val="0"/>
          <w:numId w:val="13"/>
        </w:numPr>
        <w:spacing w:before="0" w:after="0" w:line="240" w:lineRule="auto"/>
        <w:ind w:left="540" w:hanging="271"/>
      </w:pPr>
      <w:r>
        <w:rPr>
          <w:rFonts w:ascii="Segoe UI" w:hAnsi="Segoe UI"/>
          <w:color w:val="19322B"/>
          <w:sz w:val="21"/>
        </w:rPr>
        <w:t>Personally received ministry gifts</w:t>
      </w:r>
    </w:p>
    <w:p>
      <w:pPr>
        <w:numPr>
          <w:ilvl w:val="0"/>
          <w:numId w:val="13"/>
        </w:numPr>
        <w:spacing w:before="0" w:after="0" w:line="240" w:lineRule="auto"/>
        <w:ind w:left="540" w:hanging="271"/>
      </w:pPr>
      <w:r>
        <w:rPr>
          <w:rFonts w:ascii="Segoe UI" w:hAnsi="Segoe UI"/>
          <w:color w:val="19322B"/>
          <w:sz w:val="21"/>
        </w:rPr>
        <w:t>Gift thank-you email acknowledgments</w:t>
      </w:r>
    </w:p>
    <w:p>
      <w:pPr>
        <w:numPr>
          <w:ilvl w:val="0"/>
          <w:numId w:val="13"/>
        </w:numPr>
        <w:spacing w:before="0" w:after="0" w:line="240" w:lineRule="auto"/>
        <w:ind w:left="540" w:hanging="271"/>
      </w:pPr>
      <w:r>
        <w:rPr>
          <w:rFonts w:ascii="Segoe UI" w:hAnsi="Segoe UI"/>
          <w:color w:val="19322B"/>
          <w:sz w:val="21"/>
        </w:rPr>
        <w:t>Revision history</w:t>
      </w:r>
    </w:p>
    <w:p>
      <w:pPr>
        <w:pStyle w:val="Heading1"/>
        <w:pageBreakBefore/>
      </w:pPr>
      <w:r>
        <w:rPr>
          <w:rFonts w:ascii="Georgia" w:hAnsi="Georgia"/>
          <w:b/>
          <w:color w:val="173F35"/>
          <w:sz w:val="32"/>
        </w:rPr>
        <w:t>Contact giving history</w:t>
      </w:r>
    </w:p>
    <w:p>
      <w:r>
        <w:rPr>
          <w:rFonts w:ascii="Segoe UI" w:hAnsi="Segoe UI"/>
          <w:color w:val="19322B"/>
          <w:sz w:val="22"/>
        </w:rPr>
        <w:t>GET /admin/people/:id includes a giving object for viewers with Finances read or edit permission (or administrators); other contact viewers receive giving: null. The existing Contacts permission remains required. src/contact-giving.ts reads donation_gifts by person ID, joining trip titles, without changing financial records. This shared view preserves each split donor's original gift date and charitable share and avoids counting the parent donation again. Pending payment inbox items, unlinked gifts, expenses, and noncharitable trip payments are not included. Existing approved CSM, manual, and imported gifts are included when linked to the contact and assigned a charitable amount.</w:t>
      </w:r>
    </w:p>
    <w:p>
      <w:r>
        <w:rPr>
          <w:rFonts w:ascii="Segoe UI" w:hAnsi="Segoe UI"/>
          <w:color w:val="19322B"/>
          <w:sz w:val="22"/>
        </w:rPr>
        <w:t>The rolling date window starts two calendar years before today and includes today in America/Chicago. A leap-day start is clamped to February 28. Future gifts are excluded. All matching gift rows are returned, newest first, with no silent result limit; totals sum rounded integer cents. The response supplies startDate, endDate, total, and gifts with date, amount, paymentMethod, category, purpose, note, and tripTitle. admin/admin.js renders the card with existing responsive components and safe text nodes. No migration is required. Released to test and production September 23, 2026.</w:t>
      </w:r>
    </w:p>
    <w:p>
      <w:r>
        <w:rPr>
          <w:rFonts w:ascii="Segoe UI" w:hAnsi="Segoe UI"/>
          <w:color w:val="19322B"/>
          <w:sz w:val="22"/>
        </w:rPr>
        <w:t>Validate with the contact-giving, donation-splits, and contact-card-disclosure test suites, TypeScript checking, JavaScript syntax checking, and Check-Color-Palette.ps1. Coverage includes the inclusive period boundaries, Chicago date rollover, leap days, unrelated contacts, unlinked gifts, noncharitable payments, split attribution, pre-fee totals, empty history, and finance permission filtering.</w:t>
      </w:r>
    </w:p>
    <w:p>
      <w:pPr>
        <w:pStyle w:val="Heading1"/>
      </w:pPr>
      <w:r>
        <w:rPr>
          <w:rFonts w:ascii="Georgia" w:hAnsi="Georgia"/>
          <w:b/>
          <w:color w:val="173F35"/>
          <w:sz w:val="32"/>
        </w:rPr>
        <w:t>Portal planning and contact review</w:t>
      </w:r>
    </w:p>
    <w:p>
      <w:r>
        <w:rPr>
          <w:rFonts w:ascii="Segoe UI" w:hAnsi="Segoe UI"/>
          <w:color w:val="19322B"/>
          <w:sz w:val="22"/>
        </w:rPr>
        <w:t>Version 4.9 planning and contact review reached both portals on September 23, 2026. test.hopesojourns.com manages a one-time copy of live business records in a separate D1 database and private R2 bucket. Business data in test never synchronize to production. Live sessions, passwords, reset links, invite tokens, and email queues are excluded. Test email and Christian Steps callbacks are blocked in application code, shared sign-in is disabled, and production routes remain unchanged. The copied trips require independent traveler credentials before portal access. Future authorized releases deploy the same application to both portals until Brent says otherwise; data and environment settings remain isolated.</w:t>
      </w:r>
    </w:p>
    <w:p>
      <w:r>
        <w:rPr>
          <w:rFonts w:ascii="Segoe UI" w:hAnsi="Segoe UI"/>
          <w:color w:val="19322B"/>
          <w:sz w:val="22"/>
        </w:rPr>
        <w:t>Migration 0035 adds ministry_tasks, trip_reviews, and trip_templates. The authenticated /admin/planning APIs provide a permission-filtered dashboard, task editing with optimistic revisions, explicit readiness approvals, and reusable templates. Task access requires access to every linked workspace; a task linked to a contact and trip requires both. General tasks use Inbox permission. Tasks support active MMT owners, due dates, completion, cancellation, and reopening. Contact profiles link to their follow-up tasks. No automatic emails are sent.</w:t>
      </w:r>
    </w:p>
    <w:p>
      <w:r>
        <w:rPr>
          <w:rFonts w:ascii="Segoe UI" w:hAnsi="Segoe UI"/>
          <w:color w:val="19322B"/>
          <w:sz w:val="22"/>
        </w:rPr>
        <w:t>Readiness separates record entry from explicit human review. Team, content, logistics, and budget reviews record the reviewer, timestamp, note, and a fingerprint of the relevant data. Changing that data invalidates the approval. Placeholders, unpublished traveler drafts, missing team members, open tasks, and unfinished estimates prevent the corresponding review. A budget can be Not applicable only while there are no active monetary costs, charges, or received payments, and requires a reason. A Completed trip with future end dates produces a warning; no existing trip statuses are automatically changed.</w:t>
      </w:r>
    </w:p>
    <w:p>
      <w:r>
        <w:rPr>
          <w:rFonts w:ascii="Segoe UI" w:hAnsi="Segoe UI"/>
          <w:color w:val="19322B"/>
          <w:sz w:val="22"/>
        </w:rPr>
        <w:t>Templates snapshot only explicitly selected non-admin content and optional budget structure. Creating a new trip shifts dated content relative to the new start date, makes copied content traveler-only drafts, and resets cost estimates and actuals. It copies no travelers, accounts, payments, notes, credentials, media, or approvals. Content body text must be reviewed for destination-specific details before saving a template. Archived templates do not affect existing trips. A template that exceeds the new trip duration is rejected atomically.</w:t>
      </w:r>
    </w:p>
    <w:p>
      <w:r>
        <w:rPr>
          <w:rFonts w:ascii="Segoe UI" w:hAnsi="Segoe UI"/>
          <w:color w:val="19322B"/>
          <w:sz w:val="22"/>
        </w:rPr>
        <w:t>The shared admin/planning.js and planning.css provide task forms and home planning cards. admin/trips/planning.js supplies grouped trip work areas, daily content planning, readiness, templates, and traveler packets. Legacy trip overview links redirect to the single Trips workspace. Financial imports remain accessible within Finances. Home includes upcoming trips, open tasks, preparation counts, and session-only recent trips. The shared journey/traveler-packet.js downloads escaped, self-contained HTML for offline reading and browser printing or Save as PDF. Only published public/traveler content is included; selected admin-exported contacts honor directory visibility. Links require connectivity and a saved packet does not update automatically.</w:t>
      </w:r>
    </w:p>
    <w:p>
      <w:pPr>
        <w:pStyle w:val="Heading2"/>
      </w:pPr>
      <w:r>
        <w:rPr>
          <w:rFonts w:ascii="Georgia" w:hAnsi="Georgia"/>
          <w:b/>
          <w:color w:val="275D4D"/>
          <w:sz w:val="26"/>
        </w:rPr>
        <w:t>Interested submission review</w:t>
      </w:r>
    </w:p>
    <w:p>
      <w:r>
        <w:rPr>
          <w:rFonts w:ascii="Segoe UI" w:hAnsi="Segoe UI"/>
          <w:color w:val="19322B"/>
          <w:sz w:val="22"/>
        </w:rPr>
        <w:t>Migration 0036 adds a staged interest_intake and one-decision-per-submission ledger. Potential duplicates never create a people row, change contact types, or attach interests until reviewed. Matching compares nonempty normalized email OR phone, irrespective of names. Email comparisons trim surrounding spaces and ignore case; phone comparisons ignore formatting and equivalent US leading country codes. All matching contacts are returned with email, phone, or both as the reason.</w:t>
      </w:r>
    </w:p>
    <w:p>
      <w:r>
        <w:rPr>
          <w:rFonts w:ascii="Segoe UI" w:hAnsi="Segoe UI"/>
          <w:color w:val="19322B"/>
          <w:sz w:val="22"/>
        </w:rPr>
        <w:t>The legacy people uniqueness constraint is replaced with a partial unique index applying to ordinary contacts. An explicit approved_duplicate flag permits an intentionally separate, identical contact after review. The migration preserves contact types, languages, areas, trip links, ministry links, tasks, and nullable financial/account person references during the table rebuild. Run it transactionally with deferred foreign-key checks and validate existing relationships before release. Never apply only fragments of this migration.</w:t>
      </w:r>
    </w:p>
    <w:p>
      <w:r>
        <w:rPr>
          <w:rFonts w:ascii="Segoe UI" w:hAnsi="Segoe UI"/>
          <w:color w:val="19322B"/>
          <w:sz w:val="22"/>
        </w:rPr>
        <w:t>A contact revision counter and transactional guard recheck the contact set before a normal insertion or review approval. A racing insertion causes a fresh match pass; stale review screens return a conflict. Idempotency keys and request fingerprints deduplicate submissions. Each approval decision is inserted under a unique intake key in the same transaction as contact edits and interest attachment, so a retry cannot apply it twice. Public confirmation is identical for matched and unmatched submissions and does not disclose contact existence. Original submitted values remain in the intake snapshot; invite tokens are excluded from that snapshot.</w:t>
      </w:r>
    </w:p>
    <w:p>
      <w:r>
        <w:rPr>
          <w:rFonts w:ascii="Segoe UI" w:hAnsi="Segoe UI"/>
          <w:color w:val="19322B"/>
          <w:sz w:val="22"/>
        </w:rPr>
        <w:t>The /admin/interest-reviews/:id endpoint requires contact read/edit access, with trip edit access additionally required when approval attaches a dated trip. Add as new requires explicit separate-contact confirmation. Update existing permits choosing any current match and selecting a strict allowlist of submitted fields; unchecked fields and unrelated history remain unchanged. Reject changes no contact. Audit history records reviewer, action, selected fields, decision time, and resulting contact. Pending reviews appear as actionable Inbox items and cannot be dismissed using generic Complete or Delete. A review decision resolves that item; any attached interest keeps its normal follow-up workflow.</w:t>
      </w:r>
    </w:p>
    <w:p>
      <w:r>
        <w:rPr>
          <w:rFonts w:ascii="Segoe UI" w:hAnsi="Segoe UI"/>
          <w:color w:val="19322B"/>
          <w:sz w:val="22"/>
        </w:rPr>
        <w:t>Validation includes normalized and conflicting matches, all three decisions, intentional identical contacts, stale screens, concurrent matching, retry protection, permissions, CSRF, migration preservation, template isolation/date shifting, readiness invalidation, and escaped packet exports. Local previews use synthetic records only and must never enter a deployment bundle.</w:t>
      </w:r>
    </w:p>
    <w:p>
      <w:pPr>
        <w:pStyle w:val="Heading1"/>
      </w:pPr>
      <w:r>
        <w:rPr>
          <w:rFonts w:ascii="Georgia" w:hAnsi="Georgia"/>
          <w:b/>
          <w:color w:val="173F35"/>
          <w:sz w:val="32"/>
        </w:rPr>
        <w:t>Trip memories and public trip stories</w:t>
      </w:r>
    </w:p>
    <w:p>
      <w:r>
        <w:rPr>
          <w:rFonts w:ascii="Segoe UI" w:hAnsi="Segoe UI"/>
          <w:color w:val="19322B"/>
          <w:sz w:val="22"/>
        </w:rPr>
        <w:t>This feature adds administrator-managed trip photos and dated notes. Open a trip, choose Photos &amp; memories, upload images or write notes, then choose Show in traveler portal for each item. Removed items can be restored. Traveler submissions are not enabled in this version.</w:t>
      </w:r>
    </w:p>
    <w:p>
      <w:r>
        <w:rPr>
          <w:rFonts w:ascii="Segoe UI" w:hAnsi="Segoe UI"/>
          <w:color w:val="19322B"/>
          <w:sz w:val="22"/>
        </w:rPr>
        <w:t>Migration 0032 adds trip_memories and trip_publications. Photo bytes use the existing private RECEIPTS bucket under trip-memories/{tripId}/; metadata stays in D1. Browser uploads resize to 2000 pixels and encode JPEG, stripping original metadata. The API accepts signature-checked JPEG, PNG, and WebP up to 6 MB. Original images remain on the uploader's device. A trip supports 300 active memories; each upload batch supports 30 photos. Server text limits and publication size limits bound storage and responses.</w:t>
      </w:r>
    </w:p>
    <w:p>
      <w:r>
        <w:rPr>
          <w:rFonts w:ascii="Segoe UI" w:hAnsi="Segoe UI"/>
          <w:color w:val="19322B"/>
          <w:sz w:val="22"/>
        </w:rPr>
        <w:t>The authenticated /admin/trips/:tripId/memories routes list, upload, edit, soft-delete, restore, and serve images. Mutations require trip edit permission, CSRF, and revision matching for existing records. Portal sessions return only visible, active memories; /portal/trips/:tripId/photos/:id enforces the session's exact trip and current visibility. Object keys are never exposed to browser responses.</w:t>
      </w:r>
    </w:p>
    <w:p>
      <w:r>
        <w:rPr>
          <w:rFonts w:ascii="Segoe UI" w:hAnsi="Segoe UI"/>
          <w:color w:val="19322B"/>
          <w:sz w:val="22"/>
        </w:rPr>
        <w:t>Past-trip story lets administrators select a published destination, write a title and summary, and choose specific memories and published traveler/public content. Save and preview stores a private snapshot through /publication/draft. Publish this version uses /publication/publish and requires Completed status and an elapsed trip end date. /publication/unpublish removes public access while retaining the private draft. All publication writes compare revisions; edits to source material never silently change a published snapshot.</w:t>
      </w:r>
    </w:p>
    <w:p>
      <w:r>
        <w:rPr>
          <w:rFonts w:ascii="Segoe UI" w:hAnsi="Segoe UI"/>
          <w:color w:val="19322B"/>
          <w:sz w:val="22"/>
        </w:rPr>
        <w:t>The public /public/trip-stories API lists summaries, optionally filtered by destination slug. /public/trip-stories/:slug returns the reviewed snapshot; its /photos/:id route serves only a photo selected in that snapshot. Responses use no-store. Public snapshots omit finances, contact records, admin-only content, and storage keys. Source photo deletion retains stored bytes for published snapshots. Unpublishing disables story and image routes, but cannot retract copies visitors previously downloaded.</w:t>
      </w:r>
    </w:p>
    <w:p>
      <w:r>
        <w:rPr>
          <w:rFonts w:ascii="Segoe UI" w:hAnsi="Segoe UI"/>
          <w:color w:val="19322B"/>
          <w:sz w:val="22"/>
        </w:rPr>
        <w:t>The shared journey/memories-view.js and memories.css render traveler galleries, notes, and public stories. Admin editing lives in admin/trips/memories.js. Published stories appear in /past-trips/, in each destination's past-trips section, and at /past-trips/story/?trip=slug. Existing archive entries remain. Integration tests cover publication separation, snapshot stability, cross-trip photo access, visibility, stale edits, invalid images, CSRF, and read-only permissions. The full backend suite passes 161 tests.</w:t>
      </w:r>
    </w:p>
    <w:p>
      <w:r>
        <w:rPr>
          <w:rFonts w:ascii="Segoe UI" w:hAnsi="Segoe UI"/>
          <w:color w:val="19322B"/>
          <w:sz w:val="22"/>
        </w:rPr>
        <w:t>The initial feature was deployed from c7b4cab on September 22, 2026. Permanent deletion requires migration 0033 before the updated Worker and Pages bundle. Release remains subject to explicit user authorization. Use the existing static build allowlist; never include local preview fixtures or QA outputs.</w:t>
      </w:r>
    </w:p>
    <w:p>
      <w:r>
        <w:rPr>
          <w:rFonts w:ascii="Segoe UI" w:hAnsi="Segoe UI"/>
          <w:color w:val="19322B"/>
          <w:sz w:val="22"/>
        </w:rPr>
        <w:t>Administrators can permanently delete a removed memory through DELETE /admin/trips/:tripId/memories/:id/permanent with revision and confirm=true. This action requires an effective portal administrator, authenticated CSRF, and an already-removed item. The UI names the item and warns that the item and stored media cannot be restored. An item referenced by a saved preview or published story must be removed from those versions first.</w:t>
      </w:r>
    </w:p>
    <w:p>
      <w:r>
        <w:rPr>
          <w:rFonts w:ascii="Segoe UI" w:hAnsi="Segoe UI"/>
          <w:color w:val="19322B"/>
          <w:sz w:val="22"/>
        </w:rPr>
        <w:t>Migration 0033 adds purge_pending and database triggers protecting snapshot references. The delete operation atomically locks an unreferenced, removed row before deleting its R2 object, then removes the row and records a content-free audit event. A storage or final database failure leaves a locked item that can be retried from Removed items; it cannot be edited or restored. Snapshot triggers prevent concurrent saves from referencing a locked or missing memory. Tests cover stale revisions, confirmation, administrator-only access, cross-trip isolation, snapshot protection, and interrupted deletion retries.</w:t>
      </w:r>
    </w:p>
    <w:p>
      <w:r>
        <w:rPr>
          <w:rFonts w:ascii="Segoe UI" w:hAnsi="Segoe UI"/>
          <w:color w:val="19322B"/>
          <w:sz w:val="22"/>
        </w:rPr>
        <w:t>Traveler gallery sizing is scoped to .journey-page in journey/memories.css: two equal columns above 600 pixels and one column on smaller screens. memories-view.js sorts a filtered photo/video array by event_date ascending, with undated images last and creation time then ID as tie-breakers, without mutating the incoming collection. Existing full-image links remain and have descriptive accessible labels. Shared renderer and stylesheet references use version 2026-09-22.4. Migration 0034 is required for video support in this release.</w:t>
      </w:r>
    </w:p>
    <w:p>
      <w:r>
        <w:rPr>
          <w:rFonts w:ascii="Segoe UI" w:hAnsi="Segoe UI"/>
          <w:color w:val="19322B"/>
          <w:sz w:val="22"/>
        </w:rPr>
        <w:t>Migration 0034 rebuilds trip_memories to allow video while preserving all columns, indexes, records, and snapshot-protection triggers. MP4/WebM container signatures are checked server-side; photo validation stays at 6 MB and video uploads are bounded at 20 MB plus multipart overhead. Uploads use existing private R2 storage. Existing image/photos media routes also serve videos with authenticated portal checks or reviewed public snapshot checks, Content-Type, no-store, Content-Length, Accept-Ranges, and valid single-byte-range responses (206/416) for seeking. The Worker does not transcode; the browser optimization step prepares supported MP4/WebM uploads. Videos use the same edit, remove, restore, protected permanent-delete, and selected public-story lifecycle as photos. Tests cover video byte ranges, invalid files, size limits, cross-trip isolation, and snapshot access after removal. Deploy migration 0034 before the updated Worker and frontend assets.</w:t>
      </w:r>
    </w:p>
    <w:p>
      <w:r>
        <w:rPr>
          <w:rFonts w:ascii="Segoe UI" w:hAnsi="Segoe UI"/>
          <w:color w:val="19322B"/>
          <w:sz w:val="22"/>
        </w:rPr>
        <w:t>admin/trips/media-optimize.js performs local browser optimization before the existing multipart upload. Photos resize to a 1600-pixel maximum edge and encode WebP at 0.78 quality, with JPEG fallback. Video uses a lazy-loaded, self-hosted Mediabunny 1.59.0 bundle and WebCodecs: MP4/H.264/AAC first, then WebM/VP9 or VP8/Opus if encoding fails. Video dimensions fit within 1280 by 720 (orientation preserved), with up to 30 fps, a duration-adjusted bitrate up to 1.5 Mbps, and 96 kbps audio. Longer clips use a lower resolution when needed to target 18 MB within the 20 MB server limit. Conversion rejects discarded audio/video tracks, handles cancellation and timeout, and releases resources. Original MP4/WebM or JPEG/PNG/WebP files are retained when smaller; no new storage is used for original copies. New uploads only are optimized. Rebuild the pinned library with npm ci --ignore-scripts and npm run build in tools/media-upload; its lockfile and MPL-2.0 license/source notice accompany the self-hosted bundle. No external media service receives the files. Browser QA verified photo/video size reduction, unchanged video duration and audio presence, and cancellation. Asset version 2026-09-22.5 loads the optimizer before the editor.</w:t>
      </w:r>
    </w:p>
    <w:p>
      <w:pPr>
        <w:pStyle w:val="Heading1"/>
      </w:pPr>
      <w:r>
        <w:rPr>
          <w:rFonts w:ascii="Georgia" w:hAnsi="Georgia"/>
          <w:b/>
          <w:color w:val="173F35"/>
          <w:sz w:val="32"/>
        </w:rPr>
        <w:t>Shared MMT navigation</w:t>
      </w:r>
    </w:p>
    <w:p>
      <w:r>
        <w:rPr>
          <w:rFonts w:ascii="Segoe UI" w:hAnsi="Segoe UI"/>
          <w:color w:val="19322B"/>
          <w:sz w:val="22"/>
        </w:rPr>
        <w:t>All six authenticated workspaces load admin/mmt-navigation.js and admin/mmt-navigation.css. HSMmtNav.mount(user) builds one permission-aware link catalogue after session validation. Home and the logo target /admin/ministry/. Trips, People and ministry, Finances, and Account and settings use native details elements; the current group opens when the route changes. Same-page hashes, browser Back, trip detail queries, and account rerenders keep the current link synchronized. Session permissions and all server checks remain authoritative. Forced password setup retains its restricted navigation. Sign-out uses the session CSRF token; login transitions remove the authenticated sidebar layout.</w:t>
      </w:r>
    </w:p>
    <w:p>
      <w:r>
        <w:rPr>
          <w:rFonts w:ascii="Segoe UI" w:hAnsi="Segoe UI"/>
          <w:color w:val="19322B"/>
          <w:sz w:val="22"/>
        </w:rPr>
        <w:t>The shared component owns sidebar styling and menu visibility. Existing page-specific content layouts remain intact. The responsive menu starts collapsed on small screens, with an accessible Show menu button; desktop navigation remains visible by default. The former sidebar markup remains as a fallback before authentication. Validate transitions between each workspace, manual disclosure controls, the logo, account rerenders, narrow screens, and permission restrictions before release.</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API routes live under /api/interest/admin/trip-platform/devotionals and use existing trip permissions and CSRF enforcement. GET lists active or deleted masters; POST creates; GET /:id returns the master and usage; PUT /:id saves; DELETE /:id soft-deletes; POST /:id/restore restores. Updates require updatedAt to detect stale edits. Migration 0029 adds devotional_library, trip_content.devotional_id, devotional_usage, and transactional usage triggers. Migration 0030 seeds 13 completed Greece 2026 studies with original-use history; 0031 seeds eight FOT studies from the verified live text and links existing copies without rewriting their content or publication settings. Mexico currently has only six empty devotional templates; completed Mexico source text is still needed.</w:t>
      </w:r>
    </w:p>
    <w:p>
      <w:r>
        <w:rPr>
          <w:rFonts w:ascii="Segoe UI" w:hAnsi="Segoe UI"/>
          <w:color w:val="19322B"/>
          <w:sz w:val="22"/>
        </w:rPr>
        <w:t>Trip content saves batch optional master creation, trip copy, and audit entries atomically. Editing a trip never updates the master. Usage triggers preserve history after deletion, date changes, or conversion to another content type. Library data is available only through authenticated admin APIs, not the public static build. Do not add outputs/devotional-library to the public build allowlist. The approved public homepage, shared stylesheet, and navigation must remain unchanged when releasing library updates.</w:t>
      </w:r>
    </w:p>
    <w:p>
      <w:r>
        <w:rPr>
          <w:rFonts w:ascii="Segoe UI" w:hAnsi="Segoe UI"/>
          <w:color w:val="19322B"/>
          <w:sz w:val="22"/>
        </w:rPr>
        <w:t>Validation: database-backed library tests cover independent copies, empty-day replacement, history, soft deletion/restoration, unsafe links, stale versions, CSRF, anonymous requests, and read-only permissions. The full backend suite passes 153 checks. Browser checks cover Scripture search, trip copying, and master/history visibility. For rollout, apply migrations to test, deploy test worker, apply production migrations, deploy production worker, then deploy the Pages bundle. Verify the homepage and both admin and traveler portal assets after release.</w:t>
      </w:r>
    </w:p>
    <w:p>
      <w:pPr>
        <w:pStyle w:val="Heading1"/>
      </w:pPr>
      <w:r>
        <w:rPr>
          <w:rFonts w:ascii="Georgia" w:hAnsi="Georgia"/>
          <w:b/>
          <w:color w:val="173F35"/>
          <w:sz w:val="32"/>
        </w:rPr>
        <w:t>Devotional day navigation</w:t>
      </w:r>
    </w:p>
    <w:p>
      <w:r>
        <w:rPr>
          <w:rFonts w:ascii="Consolas" w:hAnsi="Consolas"/>
          <w:color w:val="173F35"/>
          <w:sz w:val="20"/>
          <w:shd w:fill="EDF5F1"/>
        </w:rPr>
        <w:t>studyDays()</w:t>
      </w:r>
      <w:r>
        <w:rPr>
          <w:rFonts w:ascii="Segoe UI" w:hAnsi="Segoe UI"/>
          <w:color w:val="19322B"/>
          <w:sz w:val="22"/>
        </w:rPr>
        <w:t xml:space="preserve"> in journey.js groups devotional records by event_date, sorts days chronologically, and renders native details and summary elements with stable date-based anchors. Trip day numbers use UTC date differences from trip.start_date, not the visible entry index; this preserves numbering when drafts are withheld. Undated records remain separate, with a title-derived day or Additional study label. Scripture references come from standalone Read aloud from the NIV, Scripture, Scripture reading, or Bible reading labels. Unknown readings show a neutral prompt to read inside.</w:t>
      </w:r>
    </w:p>
    <w:p>
      <w:r>
        <w:rPr>
          <w:rFonts w:ascii="Segoe UI" w:hAnsi="Segoe UI"/>
          <w:color w:val="19322B"/>
          <w:sz w:val="22"/>
        </w:rPr>
        <w:t>Day links open, focus, and scroll to the matching banner, including when the same link is selected again. Initial and changed URL fragments open the matching day after the asynchronous portal render. Native keyboard toggling remains available. Multiple entries on one date share a banner and retain their individual bodies. No API, database, or publication changes are involved. The journey asset version is 2026-09-21.3; this day-navigation enhancement is deployed September 21, 2026.</w:t>
      </w:r>
    </w:p>
    <w:p>
      <w:pPr>
        <w:pStyle w:val="Heading1"/>
      </w:pPr>
      <w:r>
        <w:rPr>
          <w:rFonts w:ascii="Georgia" w:hAnsi="Georgia"/>
          <w:b/>
          <w:color w:val="173F35"/>
          <w:sz w:val="32"/>
        </w:rPr>
        <w:t>Traveler study formatting</w:t>
      </w:r>
    </w:p>
    <w:p>
      <w:r>
        <w:rPr>
          <w:rFonts w:ascii="Consolas" w:hAnsi="Consolas"/>
          <w:color w:val="173F35"/>
          <w:sz w:val="20"/>
          <w:shd w:fill="EDF5F1"/>
        </w:rPr>
        <w:t>journey/content-format.js</w:t>
      </w:r>
      <w:r>
        <w:rPr>
          <w:rFonts w:ascii="Segoe UI" w:hAnsi="Segoe UI"/>
          <w:color w:val="19322B"/>
          <w:sz w:val="22"/>
        </w:rPr>
        <w:t xml:space="preserve"> exposes </w:t>
      </w:r>
      <w:r>
        <w:rPr>
          <w:rFonts w:ascii="Consolas" w:hAnsi="Consolas"/>
          <w:color w:val="173F35"/>
          <w:sz w:val="20"/>
          <w:shd w:fill="EDF5F1"/>
        </w:rPr>
        <w:t>HSJourneyContent.render(text, { study })</w:t>
      </w:r>
      <w:r>
        <w:rPr>
          <w:rFonts w:ascii="Segoe UI" w:hAnsi="Segoe UI"/>
          <w:color w:val="19322B"/>
          <w:sz w:val="22"/>
        </w:rPr>
        <w:t xml:space="preserve">. The journey page loads it before </w:t>
      </w:r>
      <w:r>
        <w:rPr>
          <w:rFonts w:ascii="Consolas" w:hAnsi="Consolas"/>
          <w:color w:val="173F35"/>
          <w:sz w:val="20"/>
          <w:shd w:fill="EDF5F1"/>
        </w:rPr>
        <w:t>journey.js</w:t>
      </w:r>
      <w:r>
        <w:rPr>
          <w:rFonts w:ascii="Segoe UI" w:hAnsi="Segoe UI"/>
          <w:color w:val="19322B"/>
          <w:sz w:val="22"/>
        </w:rPr>
        <w:t xml:space="preserve">; both scripts and the journey stylesheet use asset version </w:t>
      </w:r>
      <w:r>
        <w:rPr>
          <w:rFonts w:ascii="Consolas" w:hAnsi="Consolas"/>
          <w:color w:val="173F35"/>
          <w:sz w:val="20"/>
          <w:shd w:fill="EDF5F1"/>
        </w:rPr>
        <w:t>2026-09-21.1</w:t>
      </w:r>
      <w:r>
        <w:rPr>
          <w:rFonts w:ascii="Segoe UI" w:hAnsi="Segoe UI"/>
          <w:color w:val="19322B"/>
          <w:sz w:val="22"/>
        </w:rPr>
        <w:t xml:space="preserve">. Render saved content with DOM creation and textContent, never innerHTML. Blank lines form paragraphs; devotional content additionally recognizes short uppercase section headings, talking-point sections, and closing prayers. Explicit numbered and bulleted lines become native lists. Known Scripture, focus, and leader-reminder labels are emphasized. Whole-line </w:t>
      </w:r>
      <w:r>
        <w:rPr>
          <w:rFonts w:ascii="Consolas" w:hAnsi="Consolas"/>
          <w:color w:val="173F35"/>
          <w:sz w:val="20"/>
          <w:shd w:fill="EDF5F1"/>
        </w:rPr>
        <w:t>NIV reading: https://...</w:t>
      </w:r>
      <w:r>
        <w:rPr>
          <w:rFonts w:ascii="Segoe UI" w:hAnsi="Segoe UI"/>
          <w:color w:val="19322B"/>
          <w:sz w:val="22"/>
        </w:rPr>
        <w:t xml:space="preserve"> entries become descriptive HTTPS links with noopener and noreferrer; invalid links and raw HTML stay plain text.</w:t>
      </w:r>
    </w:p>
    <w:p>
      <w:r>
        <w:rPr>
          <w:rFonts w:ascii="Segoe UI" w:hAnsi="Segoe UI"/>
          <w:color w:val="19322B"/>
          <w:sz w:val="22"/>
        </w:rPr>
        <w:t>Study-specific presentation applies to every record whose content_type is devotional, including Bible studies in that category. All other content keeps paragraph breaks and explicit lists without study-heading inference. No database migration, record rewrite, visibility change, or publication action is required. Existing drafts gain the formatting when normally published. The typography update was deployed September 21, 2026 as Pages deployment 7f15e692. Preserve the portal session API and its existing publication filtering.</w:t>
      </w:r>
    </w:p>
    <w:p>
      <w:pPr>
        <w:pStyle w:val="Heading1"/>
      </w:pPr>
      <w:r>
        <w:rPr>
          <w:rFonts w:ascii="Georgia" w:hAnsi="Georgia"/>
          <w:b/>
          <w:color w:val="173F35"/>
          <w:sz w:val="32"/>
        </w:rPr>
        <w:t>Dated trip preview layout</w:t>
      </w:r>
    </w:p>
    <w:p>
      <w:r>
        <w:rPr>
          <w:rFonts w:ascii="Segoe UI" w:hAnsi="Segoe UI"/>
          <w:color w:val="19322B"/>
          <w:sz w:val="22"/>
        </w:rPr>
        <w:t>The dated-trip preview at /trip/ uses trip/trip.css inside the shared fixed-width shell. Hero padding must stay bounded rather than using viewport-minus-content calculations. Validate /trip/ with representative API data at 320, 390, 760, 820, 1378, 1920, and 2560px for overflow and intersecting hero columns. The trip stylesheet version is 2026-09-20.1. Displayed dates come directly from the saved trip record.</w:t>
      </w:r>
    </w:p>
    <w:p>
      <w:pPr>
        <w:pStyle w:val="Heading1"/>
      </w:pPr>
      <w:r>
        <w:rPr>
          <w:rFonts w:ascii="Georgia" w:hAnsi="Georgia"/>
          <w:b/>
          <w:color w:val="173F35"/>
          <w:sz w:val="32"/>
        </w:rPr>
        <w:t>Shared trip password display</w:t>
      </w:r>
    </w:p>
    <w:p>
      <w:r>
        <w:rPr>
          <w:rFonts w:ascii="Segoe UI" w:hAnsi="Segoe UI"/>
          <w:color w:val="19322B"/>
          <w:sz w:val="22"/>
        </w:rPr>
        <w:t xml:space="preserve">The traveler credential card shows a masked current-password field. Trip editors can use its eye button while the card remains locked. The browser retrieves plaintext only on that action through authenticated </w:t>
      </w:r>
      <w:r>
        <w:rPr>
          <w:rFonts w:ascii="Consolas" w:hAnsi="Consolas"/>
          <w:color w:val="173F35"/>
          <w:sz w:val="20"/>
          <w:shd w:fill="EDF5F1"/>
        </w:rPr>
        <w:t>GET /admin/trips/:id/portal-credential</w:t>
      </w:r>
      <w:r>
        <w:rPr>
          <w:rFonts w:ascii="Segoe UI" w:hAnsi="Segoe UI"/>
          <w:color w:val="19322B"/>
          <w:sz w:val="22"/>
        </w:rPr>
        <w:t xml:space="preserve">, which additionally requires trip edit permission and returns </w:t>
      </w:r>
      <w:r>
        <w:rPr>
          <w:rFonts w:ascii="Consolas" w:hAnsi="Consolas"/>
          <w:color w:val="173F35"/>
          <w:sz w:val="20"/>
          <w:shd w:fill="EDF5F1"/>
        </w:rPr>
        <w:t>no-store, private</w:t>
      </w:r>
      <w:r>
        <w:rPr>
          <w:rFonts w:ascii="Segoe UI" w:hAnsi="Segoe UI"/>
          <w:color w:val="19322B"/>
          <w:sz w:val="22"/>
        </w:rPr>
        <w:t xml:space="preserve">. Read-only users cannot reveal passwords. Ordinary workspace responses contain only </w:t>
      </w:r>
      <w:r>
        <w:rPr>
          <w:rFonts w:ascii="Consolas" w:hAnsi="Consolas"/>
          <w:color w:val="173F35"/>
          <w:sz w:val="20"/>
          <w:shd w:fill="EDF5F1"/>
        </w:rPr>
        <w:t>portalCredential.canReveal</w:t>
      </w:r>
      <w:r>
        <w:rPr>
          <w:rFonts w:ascii="Segoe UI" w:hAnsi="Segoe UI"/>
          <w:color w:val="19322B"/>
          <w:sz w:val="22"/>
        </w:rPr>
        <w:t xml:space="preserve"> and </w:t>
      </w:r>
      <w:r>
        <w:rPr>
          <w:rFonts w:ascii="Consolas" w:hAnsi="Consolas"/>
          <w:color w:val="173F35"/>
          <w:sz w:val="20"/>
          <w:shd w:fill="EDF5F1"/>
        </w:rPr>
        <w:t>portalCredential.available</w:t>
      </w:r>
      <w:r>
        <w:rPr>
          <w:rFonts w:ascii="Segoe UI" w:hAnsi="Segoe UI"/>
          <w:color w:val="19322B"/>
          <w:sz w:val="22"/>
        </w:rPr>
        <w:t>, not the recoverable password. The revealed value stays only in the input and is cleared when hidden, unlocked, refreshed, switched to another trip, or signed out. Never put it in local storage, audit metadata, exports, public responses, or traveler responses.</w:t>
      </w:r>
    </w:p>
    <w:p>
      <w:r>
        <w:rPr>
          <w:rFonts w:ascii="Segoe UI" w:hAnsi="Segoe UI"/>
          <w:color w:val="19322B"/>
          <w:sz w:val="22"/>
        </w:rPr>
        <w:t xml:space="preserve">Migration </w:t>
      </w:r>
      <w:r>
        <w:rPr>
          <w:rFonts w:ascii="Consolas" w:hAnsi="Consolas"/>
          <w:color w:val="173F35"/>
          <w:sz w:val="20"/>
          <w:shd w:fill="EDF5F1"/>
        </w:rPr>
        <w:t>0028_trip_portal_password_display.sql</w:t>
      </w:r>
      <w:r>
        <w:rPr>
          <w:rFonts w:ascii="Segoe UI" w:hAnsi="Segoe UI"/>
          <w:color w:val="19322B"/>
          <w:sz w:val="22"/>
        </w:rPr>
        <w:t xml:space="preserve"> adds </w:t>
      </w:r>
      <w:r>
        <w:rPr>
          <w:rFonts w:ascii="Consolas" w:hAnsi="Consolas"/>
          <w:color w:val="173F35"/>
          <w:sz w:val="20"/>
          <w:shd w:fill="EDF5F1"/>
        </w:rPr>
        <w:t>trip_portal_passwords</w:t>
      </w:r>
      <w:r>
        <w:rPr>
          <w:rFonts w:ascii="Segoe UI" w:hAnsi="Segoe UI"/>
          <w:color w:val="19322B"/>
          <w:sz w:val="22"/>
        </w:rPr>
        <w:t xml:space="preserve"> separately from </w:t>
      </w:r>
      <w:r>
        <w:rPr>
          <w:rFonts w:ascii="Consolas" w:hAnsi="Consolas"/>
          <w:color w:val="173F35"/>
          <w:sz w:val="20"/>
          <w:shd w:fill="EDF5F1"/>
        </w:rPr>
        <w:t>trips</w:t>
      </w:r>
      <w:r>
        <w:rPr>
          <w:rFonts w:ascii="Segoe UI" w:hAnsi="Segoe UI"/>
          <w:color w:val="19322B"/>
          <w:sz w:val="22"/>
        </w:rPr>
        <w:t xml:space="preserve">. Saving credentials writes an AES-GCM encrypted copy atomically with the existing PBKDF2 hash, salt, and session deletion. The display key is SHA-256 derived with a versioned domain prefix from the environment's existing </w:t>
      </w:r>
      <w:r>
        <w:rPr>
          <w:rFonts w:ascii="Consolas" w:hAnsi="Consolas"/>
          <w:color w:val="173F35"/>
          <w:sz w:val="20"/>
          <w:shd w:fill="EDF5F1"/>
        </w:rPr>
        <w:t>ADMIN_SESSION_SECRET</w:t>
      </w:r>
      <w:r>
        <w:rPr>
          <w:rFonts w:ascii="Segoe UI" w:hAnsi="Segoe UI"/>
          <w:color w:val="19322B"/>
          <w:sz w:val="22"/>
        </w:rPr>
        <w:t>; each save has a fresh 12-byte IV and authenticates the trip ID as additional data. No plaintext is stored in D1. Keep the session secret available for display; rotating it makes prior display copies unreadable until the password is saved again, but does not affect password-hash verification for traveler sign-in. Decryption failures return a friendly re-save message without logging credential contents.</w:t>
      </w:r>
    </w:p>
    <w:p>
      <w:r>
        <w:rPr>
          <w:rFonts w:ascii="Segoe UI" w:hAnsi="Segoe UI"/>
          <w:color w:val="19322B"/>
          <w:sz w:val="22"/>
        </w:rPr>
        <w:t>Older credentials have only one-way hashes and cannot be recovered. The card explains that an editor must unlock and save the password again, which may be the same password if known. Saving still signs out all existing traveler sessions. Apply migration 0028 before releasing the matching Worker and trip-admin assets, only after explicit deployment authorization. This change is local pending release. Regression tests cover retrieval, encryption, legacy credentials, permissions, CSRF, secret rotation, and session revocation.</w:t>
      </w:r>
    </w:p>
    <w:p>
      <w:pPr>
        <w:pStyle w:val="Heading1"/>
      </w:pPr>
      <w:r>
        <w:rPr>
          <w:rFonts w:ascii="Georgia" w:hAnsi="Georgia"/>
          <w:b/>
          <w:color w:val="173F35"/>
          <w:sz w:val="32"/>
        </w:rPr>
        <w:t>Inbox completion and trash</w:t>
      </w:r>
    </w:p>
    <w:p>
      <w:r>
        <w:rPr>
          <w:rFonts w:ascii="Segoe UI" w:hAnsi="Segoe UI"/>
          <w:color w:val="19322B"/>
          <w:sz w:val="22"/>
        </w:rPr>
        <w:t>GET /admin/ministry/inbox returns source-visible notices with saved completion or deletion state and a canManage flag. POST to the same route accepts itemId and action: complete, reopen, delete, or restore. Actions require inbox edit access, source visibility, and the existing authenticated CSRF checks. The state change and audit entry are saved in one database batch. These actions organize the shared inbox for all authorized users; they never approve payments, finish budgets, or modify source records.</w:t>
      </w:r>
    </w:p>
    <w:p>
      <w:r>
        <w:rPr>
          <w:rFonts w:ascii="Segoe UI" w:hAnsi="Segoe UI"/>
          <w:color w:val="19322B"/>
          <w:sz w:val="22"/>
        </w:rPr>
        <w:t>Apply migration 0027_ministry_inbox_states.sql before releasing the updated Worker and ministry UI. It adds a separate state table keyed by prefixed source IDs, preserving the prior manual completion state while an item is in Trash. Reopen removes the manual override and uses the current source status. Restore preserves prior manual completion or uses the current source status. Source visibility and the existing recent-source limits still apply; this is not an unlimited historical archive. Local regression tests cover the action lifecycle, source preservation, validation, CSRF, and read-only or inaccessible-source denial.</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r>
        <w:rPr>
          <w:rFonts w:ascii="Segoe UI" w:hAnsi="Segoe UI"/>
          <w:color w:val="19322B"/>
          <w:sz w:val="22"/>
        </w:rPr>
        <w:t>The Contacts loader requests all filtered /people pages in batches of 50, using the existing authenticated API, before building the letter navigation. It deduplicates by contact ID and ignores superseded loads and results arriving after a view change. Contacts hide pagination; Spreadsheet and Requests keep their existing pagination. An empty sort selection resolves to name_asc for Contacts and newest elsewhere. No API or schema change is needed. The spreadsheet table deliberately does not use the mobile card transformation applied to other responsive tables. Follow-up saves continue to use /contacts/bulk-activity with its existing permissions and batch limit.</w:t>
      </w:r>
    </w:p>
    <w:p>
      <w:pPr>
        <w:pStyle w:val="Heading1"/>
      </w:pPr>
      <w:r>
        <w:rPr>
          <w:rFonts w:ascii="Georgia" w:hAnsi="Georgia"/>
          <w:b/>
          <w:color w:val="173F35"/>
          <w:sz w:val="32"/>
        </w:rPr>
        <w:t>Trip budget funding and bulk updates</w:t>
      </w:r>
    </w:p>
    <w:p>
      <w:r>
        <w:rPr>
          <w:rFonts w:ascii="Segoe UI" w:hAnsi="Segoe UI"/>
          <w:color w:val="19322B"/>
          <w:sz w:val="22"/>
        </w:rPr>
        <w:t>The trip workspace loads admin/trips/budget-tools.js before trips.js. It renders estimated costs, recorded actual costs, active funding allocations, variance, and remaining funding. A zero actual amount is treated as not recorded unless the cost is Paid. Canceled costs and allocations are excluded. Allocation totals include Planned, Confirmed, and Paid funding; these are funding commitments, not receipts or ledger transactions.</w:t>
      </w:r>
    </w:p>
    <w:p>
      <w:r>
        <w:rPr>
          <w:rFonts w:ascii="Segoe UI" w:hAnsi="Segoe UI"/>
          <w:color w:val="19322B"/>
          <w:sz w:val="22"/>
        </w:rPr>
        <w:t>Fund the entire budget previews positive uncovered balances per cost, using either the original estimates or actual costs where recorded. Saving creates Planned allocations through the existing allocations endpoint, preserves prior allocations, and never reduces excess funding. Refresh and review after a partial failure; there is no automatic retry. A pre-save workspace comparison detects changes since opening the dialog, but the sequential requests are not an atomic transaction or a server-side concurrency lock.</w:t>
      </w:r>
    </w:p>
    <w:p>
      <w:r>
        <w:rPr>
          <w:rFonts w:ascii="Segoe UI" w:hAnsi="Segoe UI"/>
          <w:color w:val="19322B"/>
          <w:sz w:val="22"/>
        </w:rPr>
        <w:t>Edit multiple budget items supports quantity, estimated unit cost, actual total, estimate-review flag, payment status, paid date, and payment method. Only changed rows are submitted through the existing cost-items endpoint after review and paid-date validation. Untouched fields and original estimates are preserved; changing fixed-cost quantity or unit cost recalculates its estimated total. Percentage-derived fields are read-only. Existing server permissions, cost validation, budget recalculation, reopening, audit, and paid-expense ledger synchronization remain authoritative. The UI reports confirmed saves and stops on the first failure; close and refresh before retrying. No schema migration is needed.</w:t>
      </w:r>
    </w:p>
    <w:p>
      <w:pPr>
        <w:pStyle w:val="Heading1"/>
      </w:pPr>
      <w:r>
        <w:rPr>
          <w:rFonts w:ascii="Georgia" w:hAnsi="Georgia"/>
          <w:b/>
          <w:color w:val="173F35"/>
          <w:sz w:val="32"/>
        </w:rPr>
        <w:t>Shared HS and CSM accounts</w:t>
      </w:r>
    </w:p>
    <w:p>
      <w:r>
        <w:rPr>
          <w:rFonts w:ascii="Segoe UI" w:hAnsi="Segoe UI"/>
          <w:color w:val="19322B"/>
          <w:sz w:val="22"/>
        </w:rPr>
        <w:t>Local implementation pending coordinated release. HS holds shared identities and passwords; CSM delegates through a private service binding named IDENTITY to the CsmIdentity entrypoint. The default public HS handler cannot invoke this entrypoint. The financial distribution secret is not reused for identity authorization. SHARED_SIGNIN stays disabled in configuration until an explicitly authorized release activates both portals.</w:t>
      </w:r>
    </w:p>
    <w:p>
      <w:r>
        <w:rPr>
          <w:rFonts w:ascii="Segoe UI" w:hAnsi="Segoe UI"/>
          <w:color w:val="19322B"/>
          <w:sz w:val="22"/>
        </w:rPr>
        <w:t>Migration 0025 preserves existing user IDs and HS permissions. It adds is_org_admin, hs_access, csm_access, csm_is_admin, csm_permissions_json, portal-scoped sessions and requests, and one-use switch codes. Brent's existing primary/admin account becomes the first Organization Administrator with access to both portals. Other HS users receive no CSM access automatically. CSM migration 0004 removes legacy shared sessions and adds shared_account_activity. Finance ownership and existing financial records remain unchanged. After activation CSM accepts the existing HS account credentials, not its legacy shared password.</w:t>
      </w:r>
    </w:p>
    <w:p>
      <w:r>
        <w:rPr>
          <w:rFonts w:ascii="Segoe UI" w:hAnsi="Segoe UI"/>
          <w:color w:val="19322B"/>
          <w:sz w:val="22"/>
        </w:rPr>
        <w:t>Organization Administrators manage shared identity, either membership, administrator appointments, global suspension, and deletion. Portal Administrators manage only their own portal's membership and section permissions. They may send password instructions to the existing account email but cannot receive an existing user's fallback token, issue temporary passwords, edit another person's shared identity, or manage Organization Administrators. Existing accounts requesting the other portal require an Organization Administrator to verify identity and link the account. Linking preserves its password and original membership. Users can edit their own shared name and contact information, not username or access.</w:t>
      </w:r>
    </w:p>
    <w:p>
      <w:r>
        <w:rPr>
          <w:rFonts w:ascii="Segoe UI" w:hAnsi="Segoe UI"/>
          <w:color w:val="19322B"/>
          <w:sz w:val="22"/>
        </w:rPr>
        <w:t>HS retains contacts, trips, destinations, finances, documents, and inbox permissions. CSM has giving (PayPal, donor reports, distribution) and finances (bookkeeping, invoices, mileage, clients/projects, files). CSM's combined finance data response is one permission boundary. Blocked, Read only, and Edit are checked on the server. Page loads with read-only finance access do not trigger PayPal ledger synchronization. Membership removal affects only that portal. Global suspension/deletion ends access to both. The last usable Organization Administrator cannot be demoted, suspended, deleted, or deprived of both memberships. Deletion retains historical attribution and allows later username/email reuse with a new identity.</w:t>
      </w:r>
    </w:p>
    <w:p>
      <w:r>
        <w:rPr>
          <w:rFonts w:ascii="Segoe UI" w:hAnsi="Segoe UI"/>
          <w:color w:val="19322B"/>
          <w:sz w:val="22"/>
        </w:rPr>
        <w:t>The private CSM adapter translates cookies and approved routes, never accepts caller-supplied actor IDs, checks origin and CSRF, and fails closed if identity is unavailable. Session token hashes live in the authority DB, scoped to one portal; both memberships and global status are checked on use. Each site retains its own HttpOnly, Secure, SameSite=Strict cookie. No password or session token appears in a redirect URL.</w:t>
      </w:r>
    </w:p>
    <w:p>
      <w:r>
        <w:rPr>
          <w:rFonts w:ascii="Segoe UI" w:hAnsi="Segoe UI"/>
          <w:color w:val="19322B"/>
          <w:sz w:val="22"/>
        </w:rPr>
        <w:t>Switching begins at the destination with a random 120-second verifier cookie. The source creates a 60-second one-use code tied to its active session, destination, and verifier hash. The fragment callback is cleared from browser history immediately. Redemption atomically consumes the code, checks the source session and both memberships again, and creates the destination session. Redirects use configured HS_PORTAL_ORIGIN / CSM_PORTAL_ORIGIN defaults and approved www variants. The button appears only when the account has both active memberships and is not awaiting a password change.</w:t>
      </w:r>
    </w:p>
    <w:p>
      <w:r>
        <w:rPr>
          <w:rFonts w:ascii="Segoe UI" w:hAnsi="Segoe UI"/>
          <w:color w:val="19322B"/>
          <w:sz w:val="22"/>
        </w:rPr>
        <w:t>The account and recovery screens are available in both portals under /admin/account/ and /admin/access/. /admin/shared-signin/ handles the switch. Shared account behavior is implemented in mmt-users.ts, shared-users.ts, shared-signin.ts, and identity-entrypoint.ts. admin/account/account.js and the switch/phone scripts are copied into CSM's canonical admin sources. Maintain those copies together. CSM account UI uses local admin theme assets and does not alter its public site. The existing HS email service sends invitations and recovery instructions; CSM-only invitation links point to CSM. HS inbox account requests and email failures are scoped to the viewer's administrative authority.</w:t>
      </w:r>
    </w:p>
    <w:p>
      <w:r>
        <w:rPr>
          <w:rFonts w:ascii="Segoe UI" w:hAnsi="Segoe UI"/>
          <w:color w:val="19322B"/>
          <w:sz w:val="22"/>
        </w:rPr>
        <w:t>Access updates record the actor, timestamp, and before/after membership, role, status, and profile values. Own-profile updates identify changed fields. CSM records individual actors for financial mutations without changing the finance owner ID. Last logged in is updated for a successful password login or successful portal switch, not ordinary page visits.</w:t>
      </w:r>
    </w:p>
    <w:p>
      <w:r>
        <w:rPr>
          <w:rFonts w:ascii="Segoe UI" w:hAnsi="Segoe UI"/>
          <w:color w:val="19322B"/>
          <w:sz w:val="22"/>
        </w:rPr>
        <w:t>Release order after explicit authorization: back up administration databases, verify Brent's HS account, activate the production flags, apply HS 0025 and deploy its Worker, apply CSM 0004 and deploy CSM with the named binding, then publish only affected HS admin assets. Keep test identity isolated from production. Repair outages without silently returning to the old shared password. The detailed coordinated release and rollback guidance lives in the CSM worker/docs/shared-accounts.md runbook.</w:t>
      </w:r>
    </w:p>
    <w:p>
      <w:r>
        <w:rPr>
          <w:rFonts w:ascii="Segoe UI" w:hAnsi="Segoe UI"/>
          <w:color w:val="19322B"/>
          <w:sz w:val="22"/>
        </w:rPr>
        <w:t>Validation covers migrations using real SQLite, independent portal permissions, administrator boundaries, same-password login, account linking, scoped requests, temporary passwords, CSRF, browser-bound one-use switches, expiration, revocation, and reset invalidation. The Workers runtime test verifies the named service binding and its absence from public HTTP. Isolated browser checks exercise account creation and both switch directions on desktop and mobile. No production account or financial data are used in these tests.</w:t>
      </w:r>
    </w:p>
    <w:p>
      <w:pPr>
        <w:pStyle w:val="Heading1"/>
      </w:pPr>
      <w:r>
        <w:rPr>
          <w:rFonts w:ascii="Georgia" w:hAnsi="Georgia"/>
          <w:b/>
          <w:color w:val="173F35"/>
          <w:sz w:val="32"/>
        </w:rPr>
        <w:t>Donation allocations</w:t>
      </w:r>
    </w:p>
    <w:p>
      <w:r>
        <w:rPr>
          <w:rFonts w:ascii="Segoe UI" w:hAnsi="Segoe UI"/>
          <w:color w:val="19322B"/>
          <w:sz w:val="22"/>
        </w:rPr>
        <w:t>Finance &gt; Income &gt; Split donation assigns a single payment to 2–100 donors without altering the original ledger amount, payer, PayPal identifiers, fee, or net deposit. Amounts use positive integer cents and must total the charitable amount before fees. Each allocation records the donor, original gift date, and optional note. Undo restores the original payer for giving statements and retains the history.</w:t>
      </w:r>
    </w:p>
    <w:p>
      <w:r>
        <w:rPr>
          <w:rFonts w:ascii="Segoe UI" w:hAnsi="Segoe UI"/>
          <w:color w:val="19322B"/>
          <w:sz w:val="22"/>
        </w:rPr>
        <w:t>Migration 0024 adds donation_splits, donation_split_history, atomic save guards, and the donation_gifts reporting view. Giving statements and annual contribution reports query this view so the original payer is not counted alongside split donors. Existing rows are unchanged. Contact deletion and changes to a split's charitable total are blocked until the split is undone. Database triggers enforce totals; optimistic revisions prevent stale saves. Finance and contact permissions, CSRF, and existing session rules apply.</w:t>
      </w:r>
    </w:p>
    <w:p>
      <w:r>
        <w:rPr>
          <w:rFonts w:ascii="Segoe UI" w:hAnsi="Segoe UI"/>
          <w:color w:val="19322B"/>
          <w:sz w:val="22"/>
        </w:rPr>
        <w:t>The shared admin/donation-splits.js dialog is loaded by the finance workspace. GET and PUT /admin/ledger/entries/:id/donor-splits expose the editor. Splits create or select donor contacts and retain revisions with the editing actor. Allocation names and email are snapshots; HS giving documents use the current contact profile.</w:t>
      </w:r>
    </w:p>
    <w:p>
      <w:r>
        <w:rPr>
          <w:rFonts w:ascii="Segoe UI" w:hAnsi="Segoe UI"/>
          <w:color w:val="19322B"/>
          <w:sz w:val="22"/>
        </w:rPr>
        <w:t>CSM sends optional donorAllocations and donorSplitRevision in the existing distribution contract. Inbox approval writes contacts, the original payment, and allocations atomically. After transfer approval, HS is authoritative. The existing secret-protected POST /internal/donation-splits service allows CSM to read and update allocations for approved CSM source records only. CSM giving statements fetch those allocations, including when a status callback is delayed, and stop if authoritative data is unavailable. Before approval, CSM locks the submitted split; complete approval before editing it. CSM migration 0003 protects the split and transfer revision from concurrent changes.</w:t>
      </w:r>
    </w:p>
    <w:p>
      <w:r>
        <w:rPr>
          <w:rFonts w:ascii="Segoe UI" w:hAnsi="Segoe UI"/>
          <w:color w:val="19322B"/>
          <w:sz w:val="22"/>
        </w:rPr>
        <w:t>Deploy the HS migration and Worker before the CSM migration and Worker, then publish the HS admin assets. No historical donation is automatically split. Reconcile original deposit totals separately from donor allocations. Test total mismatches, fees, original donation years, multiple donors, edit/undo, stale changes, authorization, and transfer approval. Payment dashboards and bank exports continue to show original payment activity; giving statements show attributed gifts.</w:t>
      </w:r>
    </w:p>
    <w:p>
      <w:pPr>
        <w:pStyle w:val="Heading1"/>
      </w:pPr>
      <w:r>
        <w:rPr>
          <w:rFonts w:ascii="Georgia" w:hAnsi="Georgia"/>
          <w:b/>
          <w:color w:val="173F35"/>
          <w:sz w:val="32"/>
        </w:rPr>
        <w:t>Individual MMT accounts and phone storage</w:t>
      </w:r>
    </w:p>
    <w:p>
      <w:r>
        <w:rPr>
          <w:rFonts w:ascii="Segoe UI" w:hAnsi="Segoe UI"/>
          <w:color w:val="19322B"/>
          <w:sz w:val="22"/>
        </w:rPr>
        <w:t>The administrator user directory displays Last logged in from the existing mmt_users.last_login_at field, in the viewer’s local time zone with a zone label. Missing timestamps show Never logged in. Only successful authentication updates this timestamp; failed attempts and session activity do not. The account API returns the nullable timestamp; no migration is required.</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use manual redirect handling (all 3xx responses are rejected), use a per-token idempotency key, and do not automatically retry or fall back to another provider. Delivery diagnostics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DB</w:t>
            </w:r>
            <w:r>
              <w:rPr>
                <w:rFonts w:ascii="Segoe UI" w:hAnsi="Segoe UI"/>
                <w:color w:val="19322B"/>
                <w:sz w:val="16"/>
              </w:rPr>
              <w:t xml:space="preserve"> copy; see config</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RECEIPTS</w:t>
            </w:r>
            <w:r>
              <w:rPr>
                <w:rFonts w:ascii="Segoe UI" w:hAnsi="Segoe UI"/>
                <w:color w:val="19322B"/>
                <w:sz w:val="16"/>
              </w:rPr>
              <w:t xml:space="preserve"> copy; see config</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The current shared password remains masked and read-only, with an eye button available to trip editors when an encrypted display copy exists. Unlocking clears the displayed value for entry of a replacement; saving revokes all traveler sessions. See Shared trip password display for legacy-password and encryption behavior.</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A separately encrypted display copy supports authorized editor reveal;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GET /admin/trips/:id/portal-credential</w:t>
            </w:r>
          </w:p>
        </w:tc>
        <w:tc>
          <w:tcPr>
            <w:tcW w:type="dxa" w:w="6960"/>
            <w:vAlign w:val="center"/>
          </w:tcPr>
          <w:p>
            <w:pPr>
              <w:spacing w:before="0" w:after="30" w:line="240" w:lineRule="auto"/>
            </w:pPr>
            <w:r>
              <w:rPr>
                <w:rFonts w:ascii="Segoe UI" w:hAnsi="Segoe UI"/>
                <w:color w:val="19322B"/>
                <w:sz w:val="16"/>
              </w:rPr>
              <w:t>Reveal the current shared password to trip editors only</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trip messages, budgets, account requests, failed account emails, and extensible ministry events. Source records determine the initial action status; separate inbox states can mark notices completed or deleted without changing their source. Current lists are bounded to 250 recent requests, payments, account requests, and custom events, and 100 sent or failed trip messages, budgets, and failed account emails.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Personally received ministry gifts</w:t>
      </w:r>
    </w:p>
    <w:p>
      <w:r>
        <w:rPr>
          <w:rFonts w:ascii="Segoe UI" w:hAnsi="Segoe UI"/>
          <w:color w:val="19322B"/>
          <w:sz w:val="22"/>
        </w:rPr>
        <w:t>Version 4.10 adds local implementation only; it is not approved for deployment. CSM /admin/personal-gifts/ records original HS donors separately from personal Venmo, Zelle, or PayPal holders. CSM migration 0005 stores gifts, settlements, private evidence, immutable delivery payloads, and audit history. Original donor attribution is preserved in giving statements. The CSM process guide is worker/docs/personally-received-gifts-process.md and is also available from the entry screen.</w:t>
      </w:r>
    </w:p>
    <w:p>
      <w:r>
        <w:rPr>
          <w:rFonts w:ascii="Segoe UI" w:hAnsi="Segoe UI"/>
          <w:color w:val="19322B"/>
          <w:sz w:val="22"/>
        </w:rPr>
        <w:t>The private CsmIdentity /personal-gift-contacts route authenticates the actual shared session and requires CSM Giving read plus HS Contacts read access. It returns a bounded search result or one selected contact. Donor search accepts field=email (default), name, or phone and searches only that field, never digits extracted from an email against phone numbers. Common phone punctuation is ignored. CSM displays these choices as radio buttons; changing the choice clears the previous donor selection. Public APIs cannot impersonate an identity. CSM mutations require Giving edit, CSRF, and an allowed origin. Evidence uses private LEDGER_ATTACHMENTS storage with a 5 MB limit and PNG, JPEG, or PDF signature checks.</w:t>
      </w:r>
    </w:p>
    <w:p>
      <w:r>
        <w:rPr>
          <w:rFonts w:ascii="Segoe UI" w:hAnsi="Segoe UI"/>
          <w:color w:val="19322B"/>
          <w:sz w:val="22"/>
        </w:rPr>
        <w:t>The PERSONAL_GIFT contract is restricted to HopeSojourns. Settlements must reconcile exactly to the original gift; bank transfers require clearance dates. Fees and expenses require evidence. The source freezes before delivery, and retries reuse its payload and idempotency key. Approval enforces the selected HS contact and atomically adds donor income and expense entries once. Transfers never create a second donation. Legacy transport field names do not mean that personal gifts are imported as PayPal transactions. Denial leaves the source frozen for coordinated correction rather than silent editing.</w:t>
      </w:r>
    </w:p>
    <w:p>
      <w:r>
        <w:rPr>
          <w:rFonts w:ascii="Segoe UI" w:hAnsi="Segoe UI"/>
          <w:color w:val="19322B"/>
          <w:sz w:val="22"/>
        </w:rPr>
        <w:t>CSM callback handling updates personal-gift status and audit history. Only approved gifts appear in CSM giving statements. Reconciliation exports trace donor, holder, settlement, bank reference, and remaining funds. This dedicated report supplements the general CSM bank ledger; do not re-enter the original gift or its HS copy as additional income. Expenses recorded through this workflow must not already exist in HS.</w:t>
      </w:r>
    </w:p>
    <w:p>
      <w:r>
        <w:rPr>
          <w:rFonts w:ascii="Segoe UI" w:hAnsi="Segoe UI"/>
          <w:color w:val="19322B"/>
          <w:sz w:val="22"/>
        </w:rPr>
        <w:t>Regression coverage includes contact permissions, original donor attribution, exact contact approval, combined and partial deposits, over-allocation, evidence requirements, reversals, voiding, delivery retries, callbacks, fees, expenses, and giving statements. Release requires review, explicit deployment authorization, CSM migration 0005, and compatible receivers before sending. Never bind live CSM to the isolated HS test environment; its shared identity and callbacks remain disabled.</w:t>
      </w:r>
    </w:p>
    <w:p>
      <w:pPr>
        <w:pStyle w:val="Heading1"/>
      </w:pPr>
      <w:r>
        <w:rPr>
          <w:rFonts w:ascii="Georgia" w:hAnsi="Georgia"/>
          <w:b/>
          <w:color w:val="173F35"/>
          <w:sz w:val="32"/>
        </w:rPr>
        <w:t>Gift thank-you email acknowledgments</w:t>
      </w:r>
    </w:p>
    <w:p>
      <w:r>
        <w:rPr>
          <w:rFonts w:ascii="Segoe UI" w:hAnsi="Segoe UI"/>
          <w:color w:val="19322B"/>
          <w:sz w:val="22"/>
        </w:rPr>
        <w:t>The Ledger offers an optional automatic thank-you switch, initially off. When enabled, newly approved CSM gifts and newly created manual charitable ledger entries are acknowledged after the financial transaction commits. Existing gifts and spreadsheet imports remain manual to avoid unexpectedly emailing historical donors. Delivery failure never rolls back the saved gift. Annual giving letters remain unchanged.</w:t>
      </w:r>
    </w:p>
    <w:p>
      <w:r>
        <w:rPr>
          <w:rFonts w:ascii="Segoe UI" w:hAnsi="Segoe UI"/>
          <w:color w:val="19322B"/>
          <w:sz w:val="22"/>
        </w:rPr>
        <w:t>The sender and reply-to are Hope Sojourns &lt;giving@hopesojourns.com&gt;. Cloudflare Email Routing forwards that address to christianstepsministries@gmail.com. Portal account emails continue using admin@hopesojourns.com. Gift emails use the existing Resend configuration and a separate database setting. Test always captures the message without contacting the provider, even when credentials are present.</w:t>
      </w:r>
    </w:p>
    <w:p>
      <w:r>
        <w:rPr>
          <w:rFonts w:ascii="Segoe UI" w:hAnsi="Segoe UI"/>
          <w:color w:val="19322B"/>
          <w:sz w:val="22"/>
        </w:rPr>
        <w:t>Migration 0037_gift_thanks.sql adds the automatic setting and acknowledgment history keyed by ledger entry plus donor. GET/PUT /admin/ledger/gift-thanks/settings controls the option. GET /admin/ledger/entries/:id/thanks lists donor acknowledgments; GET /admin/ledger/entries/:id/thanks/:personId previews the message and returns a contact/gift snapshot hash; POST to the same donor route validates that hash and sends. Finance read permission is required for previews; finance edit and CSRF are required for settings and sending. Contact giving history supplies sent timestamps and a gift thank-you action.</w:t>
      </w:r>
    </w:p>
    <w:p>
      <w:r>
        <w:rPr>
          <w:rFonts w:ascii="Segoe UI" w:hAnsi="Segoe UI"/>
          <w:color w:val="19322B"/>
          <w:sz w:val="22"/>
        </w:rPr>
        <w:t>The server reads the donor email from the linked contact and the charitable share, original date, method and currency from donation_gifts. Split donors receive individual acknowledgments; ambiguous multiple allocations to the same donor require review. Missing email addresses block sending without losing the gift. Once a send is pending, uncertain or accepted, allocation changes are blocked to protect acknowledgment identity. The history remains when a contact or entry is deleted. Gift updates do not reset sent history.</w:t>
      </w:r>
    </w:p>
    <w:p>
      <w:r>
        <w:rPr>
          <w:rFonts w:ascii="Segoe UI" w:hAnsi="Segoe UI"/>
          <w:color w:val="19322B"/>
          <w:sz w:val="22"/>
        </w:rPr>
        <w:t>An atomic database claim prevents concurrent manual/automatic sends. A successful provider acceptance permanently disables sending for that gift and donor; this records acceptance, not guaranteed inbox delivery. Definitive provider rejection remains retryable. Timeouts and ambiguous responses retain the exact payload and idempotency key for safe retry within 23 hours. Older uncertain sends remain locked: inspect Resend delivery history before an administrator reconciles the record; never clear it merely to resend. A stale pending attempt can be retried after one minute within that same window.</w:t>
      </w:r>
    </w:p>
    <w:p>
      <w:r>
        <w:rPr>
          <w:rFonts w:ascii="Segoe UI" w:hAnsi="Segoe UI"/>
          <w:color w:val="19322B"/>
          <w:sz w:val="22"/>
        </w:rPr>
        <w:t>The signature is private R2 object branding/brent-kern-signature.png in each environment's RECEIPTS bucket. It is attached inline using a content ID; do not publish the signature in website assets or commit it. Authorized previews embed it for finance users. The oval logo uses the existing public image. tools/build-gift-email-colors.mjs generates src/gift-email-colors.ts from the styles.css root palette; rerun after palette changes. The approved HTML/text template lives in src/gift-email-template.ts and the dialog/settings in admin/gift-thanks.js.</w:t>
      </w:r>
    </w:p>
    <w:p>
      <w:r>
        <w:rPr>
          <w:rFonts w:ascii="Segoe UI" w:hAnsi="Segoe UI"/>
          <w:color w:val="19322B"/>
          <w:sz w:val="22"/>
        </w:rPr>
        <w:t>Validation includes provider mocks, duplicate/concurrent sends, stale previews, missing emails, retries and expiry, split shares, permission/CSRF checks, and test isolation. No donor email is sent during automated validation. Deploy migration and private signature before Worker and frontend release to both environments. Initial automatic setting remains off until chosen in the Ledger.</w:t>
      </w:r>
    </w:p>
    <w:p>
      <w:pPr>
        <w:pStyle w:val="Heading1"/>
      </w:pPr>
      <w:r>
        <w:rPr>
          <w:rFonts w:ascii="Georgia" w:hAnsi="Georgia"/>
          <w:b/>
          <w:color w:val="173F35"/>
          <w:sz w:val="32"/>
        </w:rPr>
        <w:t>Revision history</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contact giving history and planning/contact review to both portals (build 2026-09-23.3, commit 7f1e35d). All 190 tests passed. Production was backed up before migrations 0035 and 0036; record counts and foreign keys were verified. Future authorized releases target both environments with isolated data and settings.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4.8.3</w:t>
            </w:r>
          </w:p>
        </w:tc>
        <w:tc>
          <w:tcPr>
            <w:tcW w:type="dxa" w:w="3580"/>
            <w:vAlign w:val="center"/>
          </w:tcPr>
          <w:p>
            <w:pPr>
              <w:spacing w:before="0" w:after="3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4.8.2</w:t>
            </w:r>
          </w:p>
        </w:tc>
        <w:tc>
          <w:tcPr>
            <w:tcW w:type="dxa" w:w="3580"/>
            <w:vAlign w:val="center"/>
          </w:tcPr>
          <w:p>
            <w:pPr>
              <w:spacing w:before="0" w:after="3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4.8.1</w:t>
            </w:r>
          </w:p>
        </w:tc>
        <w:tc>
          <w:tcPr>
            <w:tcW w:type="dxa" w:w="3580"/>
            <w:vAlign w:val="center"/>
          </w:tcPr>
          <w:p>
            <w:pPr>
              <w:spacing w:before="0" w:after="3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4.8.0</w:t>
            </w:r>
          </w:p>
        </w:tc>
        <w:tc>
          <w:tcPr>
            <w:tcW w:type="dxa" w:w="3580"/>
            <w:vAlign w:val="center"/>
          </w:tcPr>
          <w:p>
            <w:pPr>
              <w:spacing w:before="0" w:after="3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4.7.0</w:t>
            </w:r>
          </w:p>
        </w:tc>
        <w:tc>
          <w:tcPr>
            <w:tcW w:type="dxa" w:w="3580"/>
            <w:vAlign w:val="center"/>
          </w:tcPr>
          <w:p>
            <w:pPr>
              <w:spacing w:before="0" w:after="3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 correction</w:t>
            </w:r>
          </w:p>
        </w:tc>
        <w:tc>
          <w:tcPr>
            <w:tcW w:type="dxa" w:w="3580"/>
            <w:vAlign w:val="center"/>
          </w:tcPr>
          <w:p>
            <w:pPr>
              <w:spacing w:before="0" w:after="30" w:line="240" w:lineRule="auto"/>
            </w:pPr>
            <w:r>
              <w:rPr>
                <w:rFonts w:ascii="Segoe UI" w:hAnsi="Segoe UI"/>
                <w:color w:val="19322B"/>
                <w:sz w:val="16"/>
              </w:rPr>
              <w:t>Donor search restricted to the selected Email, Name, or Phone number field, with regression coverage for email digits matching unrelated phones.</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w:t>
            </w:r>
          </w:p>
        </w:tc>
        <w:tc>
          <w:tcPr>
            <w:tcW w:type="dxa" w:w="3580"/>
            <w:vAlign w:val="center"/>
          </w:tcPr>
          <w:p>
            <w:pPr>
              <w:spacing w:before="0" w:after="3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4.9</w:t>
            </w:r>
          </w:p>
        </w:tc>
        <w:tc>
          <w:tcPr>
            <w:tcW w:type="dxa" w:w="3580"/>
            <w:vAlign w:val="center"/>
          </w:tcPr>
          <w:p>
            <w:pPr>
              <w:spacing w:before="0" w:after="3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4.6.0</w:t>
            </w:r>
          </w:p>
        </w:tc>
        <w:tc>
          <w:tcPr>
            <w:tcW w:type="dxa" w:w="3580"/>
            <w:vAlign w:val="center"/>
          </w:tcPr>
          <w:p>
            <w:pPr>
              <w:spacing w:before="0" w:after="3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4.5.8</w:t>
            </w:r>
          </w:p>
        </w:tc>
        <w:tc>
          <w:tcPr>
            <w:tcW w:type="dxa" w:w="3580"/>
            <w:vAlign w:val="center"/>
          </w:tcPr>
          <w:p>
            <w:pPr>
              <w:spacing w:before="0" w:after="30" w:line="240" w:lineRule="auto"/>
            </w:pPr>
            <w:r>
              <w:rPr>
                <w:rFonts w:ascii="Segoe UI" w:hAnsi="Segoe UI"/>
                <w:color w:val="19322B"/>
                <w:sz w:val="16"/>
              </w:rPr>
              <w:t>Added date-grouped native disclosures, stable anchors, and keyboard-accessible day links without exposing drafts. Deployed September 21, 2026.</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4.5.7</w:t>
            </w:r>
          </w:p>
        </w:tc>
        <w:tc>
          <w:tcPr>
            <w:tcW w:type="dxa" w:w="3580"/>
            <w:vAlign w:val="center"/>
          </w:tcPr>
          <w:p>
            <w:pPr>
              <w:spacing w:before="0" w:after="30" w:line="240" w:lineRule="auto"/>
            </w:pPr>
            <w:r>
              <w:rPr>
                <w:rFonts w:ascii="Segoe UI" w:hAnsi="Segoe UI"/>
                <w:color w:val="19322B"/>
                <w:sz w:val="16"/>
              </w:rPr>
              <w:t>Added safe plain-text study rendering and responsive reading styles without changing saved content or publication filtering. Deployed September 21, 2026.</w:t>
            </w:r>
          </w:p>
        </w:tc>
      </w:tr>
      <w:tr>
        <w:trPr>
          <w:cantSplit/>
        </w:trPr>
        <w:tc>
          <w:tcPr>
            <w:tcW w:type="dxa" w:w="2200"/>
            <w:vAlign w:val="center"/>
          </w:tcPr>
          <w:p>
            <w:pPr>
              <w:spacing w:before="0" w:after="30" w:line="240" w:lineRule="auto"/>
            </w:pPr>
            <w:r>
              <w:rPr>
                <w:rFonts w:ascii="Segoe UI" w:hAnsi="Segoe UI"/>
                <w:color w:val="19322B"/>
                <w:sz w:val="16"/>
              </w:rPr>
              <w:t>2026-09-20</w:t>
            </w:r>
          </w:p>
        </w:tc>
        <w:tc>
          <w:tcPr>
            <w:tcW w:type="dxa" w:w="3580"/>
            <w:vAlign w:val="center"/>
          </w:tcPr>
          <w:p>
            <w:pPr>
              <w:spacing w:before="0" w:after="30" w:line="240" w:lineRule="auto"/>
            </w:pPr>
            <w:r>
              <w:rPr>
                <w:rFonts w:ascii="Segoe UI" w:hAnsi="Segoe UI"/>
                <w:color w:val="19322B"/>
                <w:sz w:val="16"/>
              </w:rPr>
              <w:t>4.5.6</w:t>
            </w:r>
          </w:p>
        </w:tc>
        <w:tc>
          <w:tcPr>
            <w:tcW w:type="dxa" w:w="3580"/>
            <w:vAlign w:val="center"/>
          </w:tcPr>
          <w:p>
            <w:pPr>
              <w:spacing w:before="0" w:after="3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4.5.5</w:t>
            </w:r>
          </w:p>
        </w:tc>
        <w:tc>
          <w:tcPr>
            <w:tcW w:type="dxa" w:w="3580"/>
            <w:vAlign w:val="center"/>
          </w:tcPr>
          <w:p>
            <w:pPr>
              <w:spacing w:before="0" w:after="30" w:line="240" w:lineRule="auto"/>
            </w:pPr>
            <w:r>
              <w:rPr>
                <w:rFonts w:ascii="Segoe UI" w:hAnsi="Segoe UI"/>
                <w:color w:val="19322B"/>
                <w:sz w:val="16"/>
              </w:rPr>
              <w:t>Added masked current trip password with editor-only reveal, encrypted display copies, and unchanged credential locking and session revocation. Local pending release.</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shared inbox completion, reopening, Trash, and restoration with separate audited state.</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Implemented shared HS/CSM identity, scoped administrator authority, one-use portal switching, preserved financial ownership, and coordinated release checks.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4.4.6</w:t>
            </w:r>
          </w:p>
        </w:tc>
        <w:tc>
          <w:tcPr>
            <w:tcW w:type="dxa" w:w="3580"/>
            <w:vAlign w:val="center"/>
          </w:tcPr>
          <w:p>
            <w:pPr>
              <w:spacing w:before="0" w:after="30" w:line="240" w:lineRule="auto"/>
            </w:pPr>
            <w:r>
              <w:rPr>
                <w:rFonts w:ascii="Segoe UI" w:hAnsi="Segoe UI"/>
                <w:color w:val="19322B"/>
                <w:sz w:val="16"/>
              </w:rPr>
              <w:t>Added donation allocations, donor reporting, edit and undo history, and shared CSM transfer handling.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4.4.5</w:t>
            </w:r>
          </w:p>
        </w:tc>
        <w:tc>
          <w:tcPr>
            <w:tcW w:type="dxa" w:w="3580"/>
            <w:vAlign w:val="center"/>
          </w:tcPr>
          <w:p>
            <w:pPr>
              <w:spacing w:before="0" w:after="30" w:line="240" w:lineRule="auto"/>
            </w:pPr>
            <w:r>
              <w:rPr>
                <w:rFonts w:ascii="Segoe UI" w:hAnsi="Segoe UI"/>
                <w:color w:val="19322B"/>
                <w:sz w:val="16"/>
              </w:rPr>
              <w:t>Display each user’s last successful sign-in with local date, time, and time zone in the administrator directory.</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4.4.4</w:t>
            </w:r>
          </w:p>
        </w:tc>
        <w:tc>
          <w:tcPr>
            <w:tcW w:type="dxa" w:w="3580"/>
            <w:vAlign w:val="center"/>
          </w:tcPr>
          <w:p>
            <w:pPr>
              <w:spacing w:before="0" w:after="30" w:line="240" w:lineRule="auto"/>
            </w:pPr>
            <w:r>
              <w:rPr>
                <w:rFonts w:ascii="Segoe UI" w:hAnsi="Segoe UI"/>
                <w:color w:val="19322B"/>
                <w:sz w:val="16"/>
              </w:rPr>
              <w:t>Fix account email request construction in Workers by using manual redirect handling; retain rejection of redirects and add a real-runtime regression test.</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4.4.3</w:t>
            </w:r>
          </w:p>
        </w:tc>
        <w:tc>
          <w:tcPr>
            <w:tcW w:type="dxa" w:w="3580"/>
            <w:vAlign w:val="center"/>
          </w:tcPr>
          <w:p>
            <w:pPr>
              <w:spacing w:before="0" w:after="3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2.9</w:t>
            </w:r>
          </w:p>
        </w:tc>
        <w:tc>
          <w:tcPr>
            <w:tcW w:type="dxa" w:w="3580"/>
            <w:vAlign w:val="center"/>
          </w:tcPr>
          <w:p>
            <w:pPr>
              <w:spacing w:before="0" w:after="3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2.8</w:t>
            </w:r>
          </w:p>
        </w:tc>
        <w:tc>
          <w:tcPr>
            <w:tcW w:type="dxa" w:w="3580"/>
            <w:vAlign w:val="center"/>
          </w:tcPr>
          <w:p>
            <w:pPr>
              <w:spacing w:before="0" w:after="3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spacing w:after="0"/>
      </w:pPr>
    </w:p>
    <w:p>
      <w:pPr>
        <w:pStyle w:val="Heading2"/>
      </w:pPr>
      <w:r>
        <w:rPr>
          <w:rFonts w:ascii="Georgia" w:hAnsi="Georgia"/>
          <w:b/>
          <w:color w:val="275D4D"/>
          <w:sz w:val="26"/>
        </w:rPr>
        <w:t>Public design restoration — September 21, 2026</w:t>
      </w:r>
    </w:p>
    <w:p>
      <w:r>
        <w:rPr>
          <w:rFonts w:ascii="Segoe UI" w:hAnsi="Segoe UI"/>
          <w:color w:val="19322B"/>
          <w:sz w:val="22"/>
        </w:rPr>
        <w:t>Restored the production homepage, shared navigation script, and shared stylesheet to the approved public design from c617a30 (archived deployment bcdaf6ac). The homepage again reads “Travel farther. Serve closer.” The experimental experience stylesheet is no longer imported globally. Current admin, finance, trip portal, and devotional formatting/day navigation remain intact. Experimental routes and assets remain available in source but are not linked by the restored public navigation. Do not run tools/build_front_door.py for production; that generator replaces the approved homepage with the experimental design.</w:t>
      </w:r>
    </w:p>
    <w:p>
      <w:pPr>
        <w:pStyle w:val="Heading2"/>
      </w:pPr>
      <w:r>
        <w:rPr>
          <w:rFonts w:ascii="Georgia" w:hAnsi="Georgia"/>
          <w:b/>
          <w:color w:val="275D4D"/>
          <w:sz w:val="26"/>
        </w:rPr>
        <w:t>Traveler portal trip selection — September 21, 2026</w:t>
      </w:r>
    </w:p>
    <w:p>
      <w:pPr>
        <w:spacing w:after="0"/>
      </w:pPr>
      <w:r>
        <w:rPr>
          <w:rFonts w:ascii="Segoe UI" w:hAnsi="Segoe UI"/>
          <w:color w:val="19322B"/>
          <w:sz w:val="22"/>
        </w:rPr>
        <w:t>Portal restoration now checks the requested trip before rendering an existing session. Admin portal links include the stable tripId as well as the shared login ID. A different trip presents the requested login instead of displaying the previous trip. Successful sign-in verifies the returned session against the login response and updates the URL with its trip ID. Regression coverage includes mismatched sessions, matching trips, custom login IDs, and direct portal visits.</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