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4.55</w:t>
      </w:r>
      <w:r>
        <w:rPr>
          <w:rFonts w:ascii="Segoe UI" w:hAnsi="Segoe UI"/>
          <w:color w:val="D99B42"/>
          <w:sz w:val="20"/>
        </w:rPr>
        <w:t xml:space="preserve">  •  </w:t>
      </w:r>
      <w:r>
        <w:rPr>
          <w:rFonts w:ascii="Segoe UI" w:hAnsi="Segoe UI"/>
          <w:color w:val="60726B"/>
          <w:sz w:val="20"/>
        </w:rPr>
        <w:t>Last reviewed October 15,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Mexico destination cooperation statement</w:t>
            </w:r>
          </w:p>
          <w:p>
            <w:pPr>
              <w:numPr>
                <w:ilvl w:val="0"/>
                <w:numId w:val="13"/>
              </w:numPr>
              <w:spacing w:before="0" w:after="60" w:line="252" w:lineRule="auto"/>
              <w:ind w:left="540" w:hanging="271"/>
            </w:pPr>
            <w:r>
              <w:rPr>
                <w:rFonts w:ascii="Segoe UI" w:hAnsi="Segoe UI"/>
                <w:color w:val="19322B"/>
                <w:sz w:val="21"/>
              </w:rPr>
              <w:t>Combined portal release</w:t>
            </w:r>
          </w:p>
          <w:p>
            <w:pPr>
              <w:numPr>
                <w:ilvl w:val="0"/>
                <w:numId w:val="13"/>
              </w:numPr>
              <w:spacing w:before="0" w:after="60" w:line="252" w:lineRule="auto"/>
              <w:ind w:left="540" w:hanging="271"/>
            </w:pPr>
            <w:r>
              <w:rPr>
                <w:rFonts w:ascii="Segoe UI" w:hAnsi="Segoe UI"/>
                <w:color w:val="19322B"/>
                <w:sz w:val="21"/>
              </w:rPr>
              <w:t>Donation contact association</w:t>
            </w:r>
          </w:p>
          <w:p>
            <w:pPr>
              <w:numPr>
                <w:ilvl w:val="0"/>
                <w:numId w:val="13"/>
              </w:numPr>
              <w:spacing w:before="0" w:after="60" w:line="252" w:lineRule="auto"/>
              <w:ind w:left="540" w:hanging="271"/>
            </w:pPr>
            <w:r>
              <w:rPr>
                <w:rFonts w:ascii="Segoe UI" w:hAnsi="Segoe UI"/>
                <w:color w:val="19322B"/>
                <w:sz w:val="21"/>
              </w:rPr>
              <w:t>Inquiry workflow and portal email</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People column filtering</w:t>
            </w:r>
          </w:p>
          <w:p>
            <w:pPr>
              <w:numPr>
                <w:ilvl w:val="0"/>
                <w:numId w:val="13"/>
              </w:numPr>
              <w:spacing w:before="0" w:after="60" w:line="252" w:lineRule="auto"/>
              <w:ind w:left="540" w:hanging="271"/>
            </w:pPr>
            <w:r>
              <w:rPr>
                <w:rFonts w:ascii="Segoe UI" w:hAnsi="Segoe UI"/>
                <w:color w:val="19322B"/>
                <w:sz w:val="21"/>
              </w:rPr>
              <w:t>Itinerary categories and compatibility</w:t>
            </w:r>
          </w:p>
          <w:p>
            <w:pPr>
              <w:numPr>
                <w:ilvl w:val="0"/>
                <w:numId w:val="13"/>
              </w:numPr>
              <w:spacing w:before="0" w:after="60" w:line="252" w:lineRule="auto"/>
              <w:ind w:left="540" w:hanging="271"/>
            </w:pPr>
            <w:r>
              <w:rPr>
                <w:rFonts w:ascii="Segoe UI" w:hAnsi="Segoe UI"/>
                <w:color w:val="19322B"/>
                <w:sz w:val="21"/>
              </w:rPr>
              <w:t>CSM direct-bank donation review</w:t>
            </w:r>
          </w:p>
          <w:p>
            <w:pPr>
              <w:numPr>
                <w:ilvl w:val="0"/>
                <w:numId w:val="13"/>
              </w:numPr>
              <w:spacing w:before="0" w:after="60" w:line="252" w:lineRule="auto"/>
              <w:ind w:left="540" w:hanging="271"/>
            </w:pPr>
            <w:r>
              <w:rPr>
                <w:rFonts w:ascii="Segoe UI" w:hAnsi="Segoe UI"/>
                <w:color w:val="19322B"/>
                <w:sz w:val="21"/>
              </w:rPr>
              <w:t>Scripture links and Day 1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Expense purpose and transfer review</w:t>
            </w:r>
          </w:p>
          <w:p>
            <w:pPr>
              <w:numPr>
                <w:ilvl w:val="0"/>
                <w:numId w:val="13"/>
              </w:numPr>
              <w:spacing w:before="0" w:after="60" w:line="252" w:lineRule="auto"/>
              <w:ind w:left="540" w:hanging="271"/>
            </w:pPr>
            <w:r>
              <w:rPr>
                <w:rFonts w:ascii="Segoe UI" w:hAnsi="Segoe UI"/>
                <w:color w:val="19322B"/>
                <w:sz w:val="21"/>
              </w:rPr>
              <w:t>Authenticated MMT user guide</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Portal planning and contact review</w:t>
            </w:r>
          </w:p>
          <w:p>
            <w:pPr>
              <w:numPr>
                <w:ilvl w:val="0"/>
                <w:numId w:val="13"/>
              </w:numPr>
              <w:spacing w:before="0" w:after="60" w:line="252" w:lineRule="auto"/>
              <w:ind w:left="540" w:hanging="271"/>
            </w:pPr>
            <w:r>
              <w:rPr>
                <w:rFonts w:ascii="Segoe UI" w:hAnsi="Segoe UI"/>
                <w:color w:val="19322B"/>
                <w:sz w:val="21"/>
              </w:rPr>
              <w:t>Trip memories and public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Devotional day navigation</w:t>
            </w:r>
          </w:p>
          <w:p>
            <w:pPr>
              <w:numPr>
                <w:ilvl w:val="0"/>
                <w:numId w:val="13"/>
              </w:numPr>
              <w:spacing w:before="0" w:after="60" w:line="252" w:lineRule="auto"/>
              <w:ind w:left="540" w:hanging="271"/>
            </w:pPr>
            <w:r>
              <w:rPr>
                <w:rFonts w:ascii="Segoe UI" w:hAnsi="Segoe UI"/>
                <w:color w:val="19322B"/>
                <w:sz w:val="21"/>
              </w:rPr>
              <w:t>Traveler study formatting</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Shared trip password display</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funding and bulk updates</w:t>
            </w:r>
          </w:p>
          <w:p>
            <w:pPr>
              <w:numPr>
                <w:ilvl w:val="0"/>
                <w:numId w:val="13"/>
              </w:numPr>
              <w:spacing w:before="0" w:after="60" w:line="252" w:lineRule="auto"/>
              <w:ind w:left="540" w:hanging="271"/>
            </w:pPr>
            <w:r>
              <w:rPr>
                <w:rFonts w:ascii="Segoe UI" w:hAnsi="Segoe UI"/>
                <w:color w:val="19322B"/>
                <w:sz w:val="21"/>
              </w:rPr>
              <w:t>Shared HS and CSM accounts</w:t>
            </w:r>
          </w:p>
          <w:p>
            <w:pPr>
              <w:numPr>
                <w:ilvl w:val="0"/>
                <w:numId w:val="13"/>
              </w:numPr>
              <w:spacing w:before="0" w:after="60" w:line="252" w:lineRule="auto"/>
              <w:ind w:left="540" w:hanging="271"/>
            </w:pPr>
            <w:r>
              <w:rPr>
                <w:rFonts w:ascii="Segoe UI" w:hAnsi="Segoe UI"/>
                <w:color w:val="19322B"/>
                <w:sz w:val="21"/>
              </w:rPr>
              <w:t>Donation allocations</w:t>
            </w:r>
          </w:p>
          <w:p>
            <w:pPr>
              <w:numPr>
                <w:ilvl w:val="0"/>
                <w:numId w:val="13"/>
              </w:numPr>
              <w:spacing w:before="0" w:after="60" w:line="252" w:lineRule="auto"/>
              <w:ind w:left="540" w:hanging="271"/>
            </w:pPr>
            <w:r>
              <w:rPr>
                <w:rFonts w:ascii="Segoe UI" w:hAnsi="Segoe UI"/>
                <w:color w:val="19322B"/>
                <w:sz w:val="21"/>
              </w:rPr>
              <w:t>Individual MMT accounts and phone storage</w:t>
            </w:r>
          </w:p>
          <w:p>
            <w:pPr>
              <w:numPr>
                <w:ilvl w:val="0"/>
                <w:numId w:val="13"/>
              </w:numPr>
              <w:spacing w:before="0" w:after="60" w:line="252" w:lineRule="auto"/>
              <w:ind w:left="540" w:hanging="271"/>
            </w:pPr>
            <w:r>
              <w:rPr>
                <w:rFonts w:ascii="Segoe UI" w:hAnsi="Segoe UI"/>
                <w:color w:val="19322B"/>
                <w:sz w:val="21"/>
              </w:rPr>
              <w:t>Managed public destinations</w:t>
            </w:r>
          </w:p>
          <w:p>
            <w:pPr>
              <w:numPr>
                <w:ilvl w:val="0"/>
                <w:numId w:val="13"/>
              </w:numPr>
              <w:spacing w:before="0" w:after="60" w:line="252" w:lineRule="auto"/>
              <w:ind w:left="540" w:hanging="271"/>
            </w:pPr>
            <w:r>
              <w:rPr>
                <w:rFonts w:ascii="Segoe UI" w:hAnsi="Segoe UI"/>
                <w:color w:val="19322B"/>
                <w:sz w:val="21"/>
              </w:rPr>
              <w:t>Purpose and operating rules</w:t>
            </w:r>
          </w:p>
          <w:p>
            <w:pPr>
              <w:numPr>
                <w:ilvl w:val="0"/>
                <w:numId w:val="13"/>
              </w:numPr>
              <w:spacing w:before="0" w:after="60" w:line="252" w:lineRule="auto"/>
              <w:ind w:left="540" w:hanging="271"/>
            </w:pPr>
            <w:r>
              <w:rPr>
                <w:rFonts w:ascii="Segoe UI" w:hAnsi="Segoe UI"/>
                <w:color w:val="19322B"/>
                <w:sz w:val="21"/>
              </w:rPr>
              <w:t>System overview</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Important locations</w:t>
            </w:r>
          </w:p>
          <w:p>
            <w:pPr>
              <w:numPr>
                <w:ilvl w:val="0"/>
                <w:numId w:val="13"/>
              </w:numPr>
              <w:spacing w:before="0" w:after="60" w:line="252" w:lineRule="auto"/>
              <w:ind w:left="540" w:hanging="271"/>
            </w:pPr>
            <w:r>
              <w:rPr>
                <w:rFonts w:ascii="Segoe UI" w:hAnsi="Segoe UI"/>
                <w:color w:val="19322B"/>
                <w:sz w:val="21"/>
              </w:rPr>
              <w:t>Public route inventory</w:t>
            </w:r>
          </w:p>
          <w:p>
            <w:pPr>
              <w:numPr>
                <w:ilvl w:val="0"/>
                <w:numId w:val="13"/>
              </w:numPr>
              <w:spacing w:before="0" w:after="60" w:line="252" w:lineRule="auto"/>
              <w:ind w:left="540" w:hanging="271"/>
            </w:pPr>
            <w:r>
              <w:rPr>
                <w:rFonts w:ascii="Segoe UI" w:hAnsi="Segoe UI"/>
                <w:color w:val="19322B"/>
                <w:sz w:val="21"/>
              </w:rPr>
              <w:t>Shared frontend architecture</w:t>
            </w:r>
          </w:p>
          <w:p>
            <w:pPr>
              <w:numPr>
                <w:ilvl w:val="0"/>
                <w:numId w:val="13"/>
              </w:numPr>
              <w:spacing w:before="0" w:after="60" w:line="252" w:lineRule="auto"/>
              <w:ind w:left="540" w:hanging="271"/>
            </w:pPr>
            <w:r>
              <w:rPr>
                <w:rFonts w:ascii="Segoe UI" w:hAnsi="Segoe UI"/>
                <w:color w:val="19322B"/>
                <w:sz w:val="21"/>
              </w:rPr>
              <w:t>Content and data files</w:t>
            </w:r>
          </w:p>
          <w:p>
            <w:pPr>
              <w:numPr>
                <w:ilvl w:val="0"/>
                <w:numId w:val="13"/>
              </w:numPr>
              <w:spacing w:before="0" w:after="60" w:line="252" w:lineRule="auto"/>
              <w:ind w:left="540" w:hanging="271"/>
            </w:pPr>
            <w:r>
              <w:rPr>
                <w:rFonts w:ascii="Segoe UI" w:hAnsi="Segoe UI"/>
                <w:color w:val="19322B"/>
                <w:sz w:val="21"/>
              </w:rPr>
              <w:t>Interest form and response portal</w:t>
            </w:r>
          </w:p>
          <w:p>
            <w:pPr>
              <w:numPr>
                <w:ilvl w:val="0"/>
                <w:numId w:val="13"/>
              </w:numPr>
              <w:spacing w:before="0" w:after="60" w:line="252" w:lineRule="auto"/>
              <w:ind w:left="540" w:hanging="271"/>
            </w:pPr>
            <w:r>
              <w:rPr>
                <w:rFonts w:ascii="Segoe UI" w:hAnsi="Segoe UI"/>
                <w:color w:val="19322B"/>
                <w:sz w:val="21"/>
              </w:rPr>
              <w:t>Giving and PayPal</w:t>
            </w:r>
          </w:p>
          <w:p>
            <w:pPr>
              <w:numPr>
                <w:ilvl w:val="0"/>
                <w:numId w:val="13"/>
              </w:numPr>
              <w:spacing w:before="0" w:after="60" w:line="252" w:lineRule="auto"/>
              <w:ind w:left="540" w:hanging="271"/>
            </w:pPr>
            <w:r>
              <w:rPr>
                <w:rFonts w:ascii="Segoe UI" w:hAnsi="Segoe UI"/>
                <w:color w:val="19322B"/>
                <w:sz w:val="21"/>
              </w:rPr>
              <w:t>Scheduling</w:t>
            </w:r>
          </w:p>
          <w:p>
            <w:pPr>
              <w:numPr>
                <w:ilvl w:val="0"/>
                <w:numId w:val="13"/>
              </w:numPr>
              <w:spacing w:before="0" w:after="60" w:line="252" w:lineRule="auto"/>
              <w:ind w:left="540" w:hanging="271"/>
            </w:pPr>
            <w:r>
              <w:rPr>
                <w:rFonts w:ascii="Segoe UI" w:hAnsi="Segoe UI"/>
                <w:color w:val="19322B"/>
                <w:sz w:val="21"/>
              </w:rPr>
              <w:t>Local development</w:t>
            </w:r>
          </w:p>
          <w:p>
            <w:pPr>
              <w:numPr>
                <w:ilvl w:val="0"/>
                <w:numId w:val="13"/>
              </w:numPr>
              <w:spacing w:before="0" w:after="60" w:line="252" w:lineRule="auto"/>
              <w:ind w:left="540" w:hanging="271"/>
            </w:pPr>
            <w:r>
              <w:rPr>
                <w:rFonts w:ascii="Segoe UI" w:hAnsi="Segoe UI"/>
                <w:color w:val="19322B"/>
                <w:sz w:val="21"/>
              </w:rPr>
              <w:t>Validation standards</w:t>
            </w:r>
          </w:p>
          <w:p>
            <w:pPr>
              <w:numPr>
                <w:ilvl w:val="0"/>
                <w:numId w:val="13"/>
              </w:numPr>
              <w:spacing w:before="0" w:after="60" w:line="252" w:lineRule="auto"/>
              <w:ind w:left="540" w:hanging="271"/>
            </w:pPr>
            <w:r>
              <w:rPr>
                <w:rFonts w:ascii="Segoe UI" w:hAnsi="Segoe UI"/>
                <w:color w:val="19322B"/>
                <w:sz w:val="21"/>
              </w:rPr>
              <w:t>Common change workflows</w:t>
            </w:r>
          </w:p>
          <w:p>
            <w:pPr>
              <w:numPr>
                <w:ilvl w:val="0"/>
                <w:numId w:val="13"/>
              </w:numPr>
              <w:spacing w:before="0" w:after="60" w:line="252" w:lineRule="auto"/>
              <w:ind w:left="540" w:hanging="271"/>
            </w:pPr>
            <w:r>
              <w:rPr>
                <w:rFonts w:ascii="Segoe UI" w:hAnsi="Segoe UI"/>
                <w:color w:val="19322B"/>
                <w:sz w:val="21"/>
              </w:rPr>
              <w:t>Security and privacy rules</w:t>
            </w:r>
          </w:p>
          <w:p>
            <w:pPr>
              <w:numPr>
                <w:ilvl w:val="0"/>
                <w:numId w:val="13"/>
              </w:numPr>
              <w:spacing w:before="0" w:after="60" w:line="252" w:lineRule="auto"/>
              <w:ind w:left="540" w:hanging="271"/>
            </w:pPr>
            <w:r>
              <w:rPr>
                <w:rFonts w:ascii="Segoe UI" w:hAnsi="Segoe UI"/>
                <w:color w:val="19322B"/>
                <w:sz w:val="21"/>
              </w:rPr>
              <w:t>Deployment boundaries</w:t>
            </w:r>
          </w:p>
          <w:p>
            <w:pPr>
              <w:numPr>
                <w:ilvl w:val="0"/>
                <w:numId w:val="13"/>
              </w:numPr>
              <w:spacing w:before="0" w:after="60" w:line="252" w:lineRule="auto"/>
              <w:ind w:left="540" w:hanging="271"/>
            </w:pPr>
            <w:r>
              <w:rPr>
                <w:rFonts w:ascii="Segoe UI" w:hAnsi="Segoe UI"/>
                <w:color w:val="19322B"/>
                <w:sz w:val="21"/>
              </w:rPr>
              <w:t>Documentation maintenance</w:t>
            </w:r>
          </w:p>
          <w:p>
            <w:pPr>
              <w:numPr>
                <w:ilvl w:val="0"/>
                <w:numId w:val="13"/>
              </w:numPr>
              <w:spacing w:before="0" w:after="60" w:line="252" w:lineRule="auto"/>
              <w:ind w:left="540" w:hanging="271"/>
            </w:pPr>
            <w:r>
              <w:rPr>
                <w:rFonts w:ascii="Segoe UI" w:hAnsi="Segoe UI"/>
                <w:color w:val="19322B"/>
                <w:sz w:val="21"/>
              </w:rPr>
              <w:t>Handoff checklist</w:t>
            </w:r>
          </w:p>
          <w:p>
            <w:pPr>
              <w:numPr>
                <w:ilvl w:val="0"/>
                <w:numId w:val="13"/>
              </w:numPr>
              <w:spacing w:before="0" w:after="60" w:line="252" w:lineRule="auto"/>
              <w:ind w:left="540" w:hanging="271"/>
            </w:pPr>
            <w:r>
              <w:rPr>
                <w:rFonts w:ascii="Segoe UI" w:hAnsi="Segoe UI"/>
                <w:color w:val="19322B"/>
                <w:sz w:val="21"/>
              </w:rPr>
              <w:t>Ministry Management workspace</w:t>
            </w:r>
          </w:p>
          <w:p>
            <w:pPr>
              <w:numPr>
                <w:ilvl w:val="0"/>
                <w:numId w:val="13"/>
              </w:numPr>
              <w:spacing w:before="0" w:after="60" w:line="252" w:lineRule="auto"/>
              <w:ind w:left="540" w:hanging="271"/>
            </w:pPr>
            <w:r>
              <w:rPr>
                <w:rFonts w:ascii="Segoe UI" w:hAnsi="Segoe UI"/>
                <w:color w:val="19322B"/>
                <w:sz w:val="21"/>
              </w:rPr>
              <w:t>Expanded bookkeeping workspace</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ministry gifts</w:t>
            </w:r>
          </w:p>
          <w:p>
            <w:pPr>
              <w:numPr>
                <w:ilvl w:val="0"/>
                <w:numId w:val="13"/>
              </w:numPr>
              <w:spacing w:before="0" w:after="60" w:line="252" w:lineRule="auto"/>
              <w:ind w:left="540" w:hanging="271"/>
            </w:pPr>
            <w:r>
              <w:rPr>
                <w:rFonts w:ascii="Segoe UI" w:hAnsi="Segoe UI"/>
                <w:color w:val="19322B"/>
                <w:sz w:val="21"/>
              </w:rPr>
              <w:t>Public following while a trip is Traveling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Isolated public story preview</w:t>
            </w:r>
          </w:p>
          <w:p>
            <w:pPr>
              <w:numPr>
                <w:ilvl w:val="0"/>
                <w:numId w:val="13"/>
              </w:numPr>
              <w:spacing w:before="0" w:after="60" w:line="252" w:lineRule="auto"/>
              <w:ind w:left="540" w:hanging="271"/>
            </w:pPr>
            <w:r>
              <w:rPr>
                <w:rFonts w:ascii="Segoe UI" w:hAnsi="Segoe UI"/>
                <w:color w:val="19322B"/>
                <w:sz w:val="21"/>
              </w:rPr>
              <w:t>Contact relationships and donor matching</w:t>
            </w:r>
          </w:p>
          <w:p>
            <w:pPr>
              <w:numPr>
                <w:ilvl w:val="0"/>
                <w:numId w:val="13"/>
              </w:numPr>
              <w:spacing w:before="0" w:after="60" w:line="252" w:lineRule="auto"/>
              <w:ind w:left="540" w:hanging="271"/>
            </w:pPr>
            <w:r>
              <w:rPr>
                <w:rFonts w:ascii="Segoe UI" w:hAnsi="Segoe UI"/>
                <w:color w:val="19322B"/>
                <w:sz w:val="21"/>
              </w:rPr>
              <w:t>Local book reader</w:t>
            </w:r>
          </w:p>
          <w:p>
            <w:pPr>
              <w:numPr>
                <w:ilvl w:val="0"/>
                <w:numId w:val="13"/>
              </w:numPr>
              <w:spacing w:before="0" w:after="60" w:line="252" w:lineRule="auto"/>
              <w:ind w:left="540" w:hanging="271"/>
            </w:pPr>
            <w:r>
              <w:rPr>
                <w:rFonts w:ascii="Segoe UI" w:hAnsi="Segoe UI"/>
                <w:color w:val="19322B"/>
                <w:sz w:val="21"/>
              </w:rPr>
              <w:t>Portal account/contact associations</w:t>
            </w:r>
          </w:p>
          <w:p>
            <w:pPr>
              <w:numPr>
                <w:ilvl w:val="0"/>
                <w:numId w:val="13"/>
              </w:numPr>
              <w:spacing w:before="0" w:after="60" w:line="252" w:lineRule="auto"/>
              <w:ind w:left="540" w:hanging="271"/>
            </w:pPr>
            <w:r>
              <w:rPr>
                <w:rFonts w:ascii="Segoe UI" w:hAnsi="Segoe UI"/>
                <w:color w:val="19322B"/>
                <w:sz w:val="21"/>
              </w:rPr>
              <w:t>Preview checkpoint and pathway exploration</w:t>
            </w:r>
          </w:p>
          <w:p>
            <w:pPr>
              <w:numPr>
                <w:ilvl w:val="0"/>
                <w:numId w:val="13"/>
              </w:numPr>
              <w:spacing w:before="0" w:after="60" w:line="252" w:lineRule="auto"/>
              <w:ind w:left="540" w:hanging="271"/>
            </w:pPr>
            <w:r>
              <w:rPr>
                <w:rFonts w:ascii="Segoe UI" w:hAnsi="Segoe UI"/>
                <w:color w:val="19322B"/>
                <w:sz w:val="21"/>
              </w:rPr>
              <w:t>Generated margin variant</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