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1.9</w:t>
      </w:r>
      <w:r>
        <w:rPr>
          <w:rFonts w:ascii="Segoe UI" w:hAnsi="Segoe UI"/>
          <w:color w:val="D99B42"/>
          <w:sz w:val="20"/>
        </w:rPr>
        <w:t xml:space="preserve">  •  </w:t>
      </w:r>
      <w:r>
        <w:rPr>
          <w:rFonts w:ascii="Segoe UI" w:hAnsi="Segoe UI"/>
          <w:color w:val="60726B"/>
          <w:sz w:val="20"/>
        </w:rPr>
        <w:t>Last reviewed August 30,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to a different D1 database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r>
      <w:tr>
        <w:trPr>
          <w:cantSplit/>
        </w:trPr>
        <w:tc>
          <w:tcPr>
            <w:tcW w:type="dxa" w:w="2100"/>
            <w:vAlign w:val="center"/>
          </w:tcPr>
          <w:p>
            <w:pPr>
              <w:spacing w:before="0" w:after="30" w:line="240" w:lineRule="auto"/>
            </w:pPr>
            <w:r>
              <w:rPr>
                <w:rFonts w:ascii="Segoe UI" w:hAnsi="Segoe UI"/>
                <w:color w:val="19322B"/>
                <w:sz w:val="16"/>
              </w:rPr>
              <w:t>Test</w:t>
            </w:r>
          </w:p>
        </w:tc>
        <w:tc>
          <w:tcPr>
            <w:tcW w:type="dxa" w:w="2500"/>
            <w:vAlign w:val="center"/>
          </w:tcPr>
          <w:p>
            <w:pPr>
              <w:spacing w:before="0" w:after="30" w:line="240" w:lineRule="auto"/>
            </w:pPr>
            <w:r>
              <w:rPr>
                <w:rFonts w:ascii="Consolas" w:hAnsi="Consolas"/>
                <w:color w:val="173F35"/>
                <w:sz w:val="17"/>
                <w:shd w:fill="EDF5F1"/>
              </w:rPr>
              <w:t>hope-sojourns-interest-test</w:t>
            </w:r>
          </w:p>
        </w:tc>
        <w:tc>
          <w:tcPr>
            <w:tcW w:type="dxa" w:w="158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3180"/>
            <w:vAlign w:val="center"/>
          </w:tcPr>
          <w:p>
            <w:pPr>
              <w:spacing w:before="0" w:after="30" w:line="240" w:lineRule="auto"/>
            </w:pPr>
            <w:r>
              <w:rPr>
                <w:rFonts w:ascii="Consolas" w:hAnsi="Consolas"/>
                <w:color w:val="173F35"/>
                <w:sz w:val="17"/>
                <w:shd w:fill="EDF5F1"/>
              </w:rPr>
              <w:t>hope-sojourns-forms-test</w:t>
            </w:r>
          </w:p>
        </w:tc>
      </w:tr>
      <w:tr>
        <w:trPr>
          <w:cantSplit/>
        </w:trPr>
        <w:tc>
          <w:tcPr>
            <w:tcW w:type="dxa" w:w="2100"/>
            <w:vAlign w:val="center"/>
          </w:tcPr>
          <w:p>
            <w:pPr>
              <w:spacing w:before="0" w:after="30" w:line="240" w:lineRule="auto"/>
            </w:pPr>
            <w:r>
              <w:rPr>
                <w:rFonts w:ascii="Segoe UI" w:hAnsi="Segoe UI"/>
                <w:color w:val="19322B"/>
                <w:sz w:val="16"/>
              </w:rPr>
              <w:t>Production</w:t>
            </w:r>
          </w:p>
        </w:tc>
        <w:tc>
          <w:tcPr>
            <w:tcW w:type="dxa" w:w="2500"/>
            <w:vAlign w:val="center"/>
          </w:tcPr>
          <w:p>
            <w:pPr>
              <w:spacing w:before="0" w:after="30" w:line="240" w:lineRule="auto"/>
            </w:pPr>
            <w:r>
              <w:rPr>
                <w:rFonts w:ascii="Consolas" w:hAnsi="Consolas"/>
                <w:color w:val="173F35"/>
                <w:sz w:val="17"/>
                <w:shd w:fill="EDF5F1"/>
              </w:rPr>
              <w:t>hope-sojourns-interest-production</w:t>
            </w:r>
          </w:p>
        </w:tc>
        <w:tc>
          <w:tcPr>
            <w:tcW w:type="dxa" w:w="158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3180"/>
            <w:vAlign w:val="center"/>
          </w:tcPr>
          <w:p>
            <w:pPr>
              <w:spacing w:before="0" w:after="30" w:line="240" w:lineRule="auto"/>
            </w:pPr>
            <w:r>
              <w:rPr>
                <w:rFonts w:ascii="Consolas" w:hAnsi="Consolas"/>
                <w:color w:val="173F35"/>
                <w:sz w:val="17"/>
                <w:shd w:fill="EDF5F1"/>
              </w:rPr>
              <w:t>hope-sojourns-forms-production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or database IDs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backup, credential row, or user-data row into production. Production is initialized only by applying the numbered migrations to its empty database; the migrations seed the legitimate opportunity catalog but no contacts, submissions, teams, ministries, sessions, or administrator credentials.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Next/>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CSM distribution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classify every row before saving</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uploaded file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plus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and a separate </w:t>
      </w:r>
      <w:r>
        <w:rPr>
          <w:rFonts w:ascii="Consolas" w:hAnsi="Consolas"/>
          <w:color w:val="173F35"/>
          <w:sz w:val="20"/>
          <w:shd w:fill="EDF5F1"/>
        </w:rPr>
        <w:t>content_fingerprint</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nine-column ledger layout, ignores sequence-only placeholder rows, validates dates, types, amounts, and required categories, and never updates or deletes an existing ledger entry. Preview and commit both parse the file independently so a browser cannot alter the reviewed result.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w:t>
      </w:r>
    </w:p>
    <w:p>
      <w:r>
        <w:rPr>
          <w:rFonts w:ascii="Segoe UI" w:hAnsi="Segoe UI"/>
          <w:color w:val="19322B"/>
          <w:sz w:val="22"/>
        </w:rPr>
        <w:t xml:space="preserve">Manual entries reuse category values already present in the database while retaining safe defaults.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Next/>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and deployment commands. Production launch order is: validate isolation, create or verify the production D1 database, apply production migrations, set production-only secrets, dry-run the production Worker, deploy it, publish the production Pages build, and verify both production hostnames. Test data must remain bound only to the test Worker and database.</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