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Ministry Management interface</w:t>
      </w:r>
    </w:p>
    <w:p>
      <w:pPr>
        <w:numPr>
          <w:ilvl w:val="0"/>
          <w:numId w:val="13"/>
        </w:numPr>
        <w:spacing w:before="0" w:after="80" w:line="300" w:lineRule="auto"/>
        <w:ind w:left="540" w:hanging="271"/>
      </w:pPr>
      <w:r>
        <w:rPr>
          <w:rFonts w:ascii="Segoe UI" w:hAnsi="Segoe UI"/>
          <w:color w:val="19322B"/>
          <w:sz w:val="21"/>
        </w:rPr>
        <w:t>Expanded bookkeeping screens</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