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4.54</w:t>
      </w:r>
      <w:r>
        <w:rPr>
          <w:rFonts w:ascii="Segoe UI" w:hAnsi="Segoe UI"/>
          <w:color w:val="D99B42"/>
          <w:sz w:val="20"/>
        </w:rPr>
        <w:t xml:space="preserve">  •  </w:t>
      </w:r>
      <w:r>
        <w:rPr>
          <w:rFonts w:ascii="Segoe UI" w:hAnsi="Segoe UI"/>
          <w:color w:val="60726B"/>
          <w:sz w:val="20"/>
        </w:rPr>
        <w:t>Last reviewed October 12,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Mexico destination cooperation statement</w:t>
            </w:r>
          </w:p>
          <w:p>
            <w:pPr>
              <w:numPr>
                <w:ilvl w:val="0"/>
                <w:numId w:val="13"/>
              </w:numPr>
              <w:spacing w:before="0" w:after="60" w:line="252" w:lineRule="auto"/>
              <w:ind w:left="540" w:hanging="271"/>
            </w:pPr>
            <w:r>
              <w:rPr>
                <w:rFonts w:ascii="Segoe UI" w:hAnsi="Segoe UI"/>
                <w:color w:val="19322B"/>
                <w:sz w:val="21"/>
              </w:rPr>
              <w:t>Combined portal release</w:t>
            </w:r>
          </w:p>
          <w:p>
            <w:pPr>
              <w:numPr>
                <w:ilvl w:val="0"/>
                <w:numId w:val="13"/>
              </w:numPr>
              <w:spacing w:before="0" w:after="60" w:line="252" w:lineRule="auto"/>
              <w:ind w:left="540" w:hanging="271"/>
            </w:pPr>
            <w:r>
              <w:rPr>
                <w:rFonts w:ascii="Segoe UI" w:hAnsi="Segoe UI"/>
                <w:color w:val="19322B"/>
                <w:sz w:val="21"/>
              </w:rPr>
              <w:t>Donation contact association</w:t>
            </w:r>
          </w:p>
          <w:p>
            <w:pPr>
              <w:numPr>
                <w:ilvl w:val="0"/>
                <w:numId w:val="13"/>
              </w:numPr>
              <w:spacing w:before="0" w:after="60" w:line="252" w:lineRule="auto"/>
              <w:ind w:left="540" w:hanging="271"/>
            </w:pPr>
            <w:r>
              <w:rPr>
                <w:rFonts w:ascii="Segoe UI" w:hAnsi="Segoe UI"/>
                <w:color w:val="19322B"/>
                <w:sz w:val="21"/>
              </w:rPr>
              <w:t>Inquiry workflow and portal email</w:t>
            </w:r>
          </w:p>
          <w:p>
            <w:pPr>
              <w:numPr>
                <w:ilvl w:val="0"/>
                <w:numId w:val="13"/>
              </w:numPr>
              <w:spacing w:before="0" w:after="60" w:line="252" w:lineRule="auto"/>
              <w:ind w:left="540" w:hanging="271"/>
            </w:pPr>
            <w:r>
              <w:rPr>
                <w:rFonts w:ascii="Segoe UI" w:hAnsi="Segoe UI"/>
                <w:color w:val="19322B"/>
                <w:sz w:val="21"/>
              </w:rPr>
              <w:t>Home financial summary</w:t>
            </w:r>
          </w:p>
          <w:p>
            <w:pPr>
              <w:numPr>
                <w:ilvl w:val="0"/>
                <w:numId w:val="13"/>
              </w:numPr>
              <w:spacing w:before="0" w:after="60" w:line="252" w:lineRule="auto"/>
              <w:ind w:left="540" w:hanging="271"/>
            </w:pPr>
            <w:r>
              <w:rPr>
                <w:rFonts w:ascii="Segoe UI" w:hAnsi="Segoe UI"/>
                <w:color w:val="19322B"/>
                <w:sz w:val="21"/>
              </w:rPr>
              <w:t>People column filtering</w:t>
            </w:r>
          </w:p>
          <w:p>
            <w:pPr>
              <w:numPr>
                <w:ilvl w:val="0"/>
                <w:numId w:val="13"/>
              </w:numPr>
              <w:spacing w:before="0" w:after="60" w:line="252" w:lineRule="auto"/>
              <w:ind w:left="540" w:hanging="271"/>
            </w:pPr>
            <w:r>
              <w:rPr>
                <w:rFonts w:ascii="Segoe UI" w:hAnsi="Segoe UI"/>
                <w:color w:val="19322B"/>
                <w:sz w:val="21"/>
              </w:rPr>
              <w:t>Itinerary categories and compatibility</w:t>
            </w:r>
          </w:p>
          <w:p>
            <w:pPr>
              <w:numPr>
                <w:ilvl w:val="0"/>
                <w:numId w:val="13"/>
              </w:numPr>
              <w:spacing w:before="0" w:after="60" w:line="252" w:lineRule="auto"/>
              <w:ind w:left="540" w:hanging="271"/>
            </w:pPr>
            <w:r>
              <w:rPr>
                <w:rFonts w:ascii="Segoe UI" w:hAnsi="Segoe UI"/>
                <w:color w:val="19322B"/>
                <w:sz w:val="21"/>
              </w:rPr>
              <w:t>CSM direct-bank donation review</w:t>
            </w:r>
          </w:p>
          <w:p>
            <w:pPr>
              <w:numPr>
                <w:ilvl w:val="0"/>
                <w:numId w:val="13"/>
              </w:numPr>
              <w:spacing w:before="0" w:after="60" w:line="252" w:lineRule="auto"/>
              <w:ind w:left="540" w:hanging="271"/>
            </w:pPr>
            <w:r>
              <w:rPr>
                <w:rFonts w:ascii="Segoe UI" w:hAnsi="Segoe UI"/>
                <w:color w:val="19322B"/>
                <w:sz w:val="21"/>
              </w:rPr>
              <w:t>Scripture links and Day 1 hymns</w:t>
            </w:r>
          </w:p>
          <w:p>
            <w:pPr>
              <w:numPr>
                <w:ilvl w:val="0"/>
                <w:numId w:val="13"/>
              </w:numPr>
              <w:spacing w:before="0" w:after="60" w:line="252" w:lineRule="auto"/>
              <w:ind w:left="540" w:hanging="271"/>
            </w:pPr>
            <w:r>
              <w:rPr>
                <w:rFonts w:ascii="Segoe UI" w:hAnsi="Segoe UI"/>
                <w:color w:val="19322B"/>
                <w:sz w:val="21"/>
              </w:rPr>
              <w:t>Ministry Home presentation</w:t>
            </w:r>
          </w:p>
          <w:p>
            <w:pPr>
              <w:numPr>
                <w:ilvl w:val="0"/>
                <w:numId w:val="13"/>
              </w:numPr>
              <w:spacing w:before="0" w:after="60" w:line="252" w:lineRule="auto"/>
              <w:ind w:left="540" w:hanging="271"/>
            </w:pPr>
            <w:r>
              <w:rPr>
                <w:rFonts w:ascii="Segoe UI" w:hAnsi="Segoe UI"/>
                <w:color w:val="19322B"/>
                <w:sz w:val="21"/>
              </w:rPr>
              <w:t>Expense purpose and transfer review</w:t>
            </w:r>
          </w:p>
          <w:p>
            <w:pPr>
              <w:numPr>
                <w:ilvl w:val="0"/>
                <w:numId w:val="13"/>
              </w:numPr>
              <w:spacing w:before="0" w:after="60" w:line="252" w:lineRule="auto"/>
              <w:ind w:left="540" w:hanging="271"/>
            </w:pPr>
            <w:r>
              <w:rPr>
                <w:rFonts w:ascii="Segoe UI" w:hAnsi="Segoe UI"/>
                <w:color w:val="19322B"/>
                <w:sz w:val="21"/>
              </w:rPr>
              <w:t>Authenticated MMT user guide</w:t>
            </w:r>
          </w:p>
          <w:p>
            <w:pPr>
              <w:numPr>
                <w:ilvl w:val="0"/>
                <w:numId w:val="13"/>
              </w:numPr>
              <w:spacing w:before="0" w:after="60" w:line="252" w:lineRule="auto"/>
              <w:ind w:left="540" w:hanging="271"/>
            </w:pPr>
            <w:r>
              <w:rPr>
                <w:rFonts w:ascii="Segoe UI" w:hAnsi="Segoe UI"/>
                <w:color w:val="19322B"/>
                <w:sz w:val="21"/>
              </w:rPr>
              <w:t>Contact giving history</w:t>
            </w:r>
          </w:p>
          <w:p>
            <w:pPr>
              <w:numPr>
                <w:ilvl w:val="0"/>
                <w:numId w:val="13"/>
              </w:numPr>
              <w:spacing w:before="0" w:after="60" w:line="252" w:lineRule="auto"/>
              <w:ind w:left="540" w:hanging="271"/>
            </w:pPr>
            <w:r>
              <w:rPr>
                <w:rFonts w:ascii="Segoe UI" w:hAnsi="Segoe UI"/>
                <w:color w:val="19322B"/>
                <w:sz w:val="21"/>
              </w:rPr>
              <w:t>Portal planning and contact review</w:t>
            </w:r>
          </w:p>
          <w:p>
            <w:pPr>
              <w:numPr>
                <w:ilvl w:val="0"/>
                <w:numId w:val="13"/>
              </w:numPr>
              <w:spacing w:before="0" w:after="60" w:line="252" w:lineRule="auto"/>
              <w:ind w:left="540" w:hanging="271"/>
            </w:pPr>
            <w:r>
              <w:rPr>
                <w:rFonts w:ascii="Segoe UI" w:hAnsi="Segoe UI"/>
                <w:color w:val="19322B"/>
                <w:sz w:val="21"/>
              </w:rPr>
              <w:t>Trip memories and public trip stories</w:t>
            </w:r>
          </w:p>
          <w:p>
            <w:pPr>
              <w:numPr>
                <w:ilvl w:val="0"/>
                <w:numId w:val="13"/>
              </w:numPr>
              <w:spacing w:before="0" w:after="60" w:line="252" w:lineRule="auto"/>
              <w:ind w:left="540" w:hanging="271"/>
            </w:pPr>
            <w:r>
              <w:rPr>
                <w:rFonts w:ascii="Segoe UI" w:hAnsi="Segoe UI"/>
                <w:color w:val="19322B"/>
                <w:sz w:val="21"/>
              </w:rPr>
              <w:t>Shared MMT navigation</w:t>
            </w:r>
          </w:p>
          <w:p>
            <w:pPr>
              <w:numPr>
                <w:ilvl w:val="0"/>
                <w:numId w:val="13"/>
              </w:numPr>
              <w:spacing w:before="0" w:after="60" w:line="252" w:lineRule="auto"/>
              <w:ind w:left="540" w:hanging="271"/>
            </w:pPr>
            <w:r>
              <w:rPr>
                <w:rFonts w:ascii="Segoe UI" w:hAnsi="Segoe UI"/>
                <w:color w:val="19322B"/>
                <w:sz w:val="21"/>
              </w:rPr>
              <w:t>Devotional library</w:t>
            </w:r>
          </w:p>
          <w:p>
            <w:pPr>
              <w:numPr>
                <w:ilvl w:val="0"/>
                <w:numId w:val="13"/>
              </w:numPr>
              <w:spacing w:before="0" w:after="60" w:line="252" w:lineRule="auto"/>
              <w:ind w:left="540" w:hanging="271"/>
            </w:pPr>
            <w:r>
              <w:rPr>
                <w:rFonts w:ascii="Segoe UI" w:hAnsi="Segoe UI"/>
                <w:color w:val="19322B"/>
                <w:sz w:val="21"/>
              </w:rPr>
              <w:t>Devotional day navigation</w:t>
            </w:r>
          </w:p>
          <w:p>
            <w:pPr>
              <w:numPr>
                <w:ilvl w:val="0"/>
                <w:numId w:val="13"/>
              </w:numPr>
              <w:spacing w:before="0" w:after="60" w:line="252" w:lineRule="auto"/>
              <w:ind w:left="540" w:hanging="271"/>
            </w:pPr>
            <w:r>
              <w:rPr>
                <w:rFonts w:ascii="Segoe UI" w:hAnsi="Segoe UI"/>
                <w:color w:val="19322B"/>
                <w:sz w:val="21"/>
              </w:rPr>
              <w:t>Traveler study formatting</w:t>
            </w:r>
          </w:p>
          <w:p>
            <w:pPr>
              <w:numPr>
                <w:ilvl w:val="0"/>
                <w:numId w:val="13"/>
              </w:numPr>
              <w:spacing w:before="0" w:after="60" w:line="252" w:lineRule="auto"/>
              <w:ind w:left="540" w:hanging="271"/>
            </w:pPr>
            <w:r>
              <w:rPr>
                <w:rFonts w:ascii="Segoe UI" w:hAnsi="Segoe UI"/>
                <w:color w:val="19322B"/>
                <w:sz w:val="21"/>
              </w:rPr>
              <w:t>Dated trip preview layout</w:t>
            </w:r>
          </w:p>
          <w:p>
            <w:pPr>
              <w:numPr>
                <w:ilvl w:val="0"/>
                <w:numId w:val="13"/>
              </w:numPr>
              <w:spacing w:before="0" w:after="60" w:line="252" w:lineRule="auto"/>
              <w:ind w:left="540" w:hanging="271"/>
            </w:pPr>
            <w:r>
              <w:rPr>
                <w:rFonts w:ascii="Segoe UI" w:hAnsi="Segoe UI"/>
                <w:color w:val="19322B"/>
                <w:sz w:val="21"/>
              </w:rPr>
              <w:t>Shared trip password display</w:t>
            </w:r>
          </w:p>
          <w:p>
            <w:pPr>
              <w:numPr>
                <w:ilvl w:val="0"/>
                <w:numId w:val="13"/>
              </w:numPr>
              <w:spacing w:before="0" w:after="60" w:line="252" w:lineRule="auto"/>
              <w:ind w:left="540" w:hanging="271"/>
            </w:pPr>
            <w:r>
              <w:rPr>
                <w:rFonts w:ascii="Segoe UI" w:hAnsi="Segoe UI"/>
                <w:color w:val="19322B"/>
                <w:sz w:val="21"/>
              </w:rPr>
              <w:t>Inbox completion and trash</w:t>
            </w:r>
          </w:p>
          <w:p>
            <w:pPr>
              <w:numPr>
                <w:ilvl w:val="0"/>
                <w:numId w:val="13"/>
              </w:numPr>
              <w:spacing w:before="0" w:after="60" w:line="252" w:lineRule="auto"/>
              <w:ind w:left="540" w:hanging="271"/>
            </w:pPr>
            <w:r>
              <w:rPr>
                <w:rFonts w:ascii="Segoe UI" w:hAnsi="Segoe UI"/>
                <w:color w:val="19322B"/>
                <w:sz w:val="21"/>
              </w:rPr>
              <w:t>Contact directory and spreadsheet</w:t>
            </w:r>
          </w:p>
          <w:p>
            <w:pPr>
              <w:numPr>
                <w:ilvl w:val="0"/>
                <w:numId w:val="13"/>
              </w:numPr>
              <w:spacing w:before="0" w:after="60" w:line="252" w:lineRule="auto"/>
              <w:ind w:left="540" w:hanging="271"/>
            </w:pPr>
            <w:r>
              <w:rPr>
                <w:rFonts w:ascii="Segoe UI" w:hAnsi="Segoe UI"/>
                <w:color w:val="19322B"/>
                <w:sz w:val="21"/>
              </w:rPr>
              <w:t>Trip budget funding and bulk updates</w:t>
            </w:r>
          </w:p>
          <w:p>
            <w:pPr>
              <w:numPr>
                <w:ilvl w:val="0"/>
                <w:numId w:val="13"/>
              </w:numPr>
              <w:spacing w:before="0" w:after="60" w:line="252" w:lineRule="auto"/>
              <w:ind w:left="540" w:hanging="271"/>
            </w:pPr>
            <w:r>
              <w:rPr>
                <w:rFonts w:ascii="Segoe UI" w:hAnsi="Segoe UI"/>
                <w:color w:val="19322B"/>
                <w:sz w:val="21"/>
              </w:rPr>
              <w:t>Shared HS and CSM accounts</w:t>
            </w:r>
          </w:p>
          <w:p>
            <w:pPr>
              <w:numPr>
                <w:ilvl w:val="0"/>
                <w:numId w:val="13"/>
              </w:numPr>
              <w:spacing w:before="0" w:after="60" w:line="252" w:lineRule="auto"/>
              <w:ind w:left="540" w:hanging="271"/>
            </w:pPr>
            <w:r>
              <w:rPr>
                <w:rFonts w:ascii="Segoe UI" w:hAnsi="Segoe UI"/>
                <w:color w:val="19322B"/>
                <w:sz w:val="21"/>
              </w:rPr>
              <w:t>Donation allocations</w:t>
            </w:r>
          </w:p>
          <w:p>
            <w:pPr>
              <w:numPr>
                <w:ilvl w:val="0"/>
                <w:numId w:val="13"/>
              </w:numPr>
              <w:spacing w:before="0" w:after="60" w:line="252" w:lineRule="auto"/>
              <w:ind w:left="540" w:hanging="271"/>
            </w:pPr>
            <w:r>
              <w:rPr>
                <w:rFonts w:ascii="Segoe UI" w:hAnsi="Segoe UI"/>
                <w:color w:val="19322B"/>
                <w:sz w:val="21"/>
              </w:rPr>
              <w:t>Individual MMT accounts and phone storage</w:t>
            </w:r>
          </w:p>
          <w:p>
            <w:pPr>
              <w:numPr>
                <w:ilvl w:val="0"/>
                <w:numId w:val="13"/>
              </w:numPr>
              <w:spacing w:before="0" w:after="60" w:line="252" w:lineRule="auto"/>
              <w:ind w:left="540" w:hanging="271"/>
            </w:pPr>
            <w:r>
              <w:rPr>
                <w:rFonts w:ascii="Segoe UI" w:hAnsi="Segoe UI"/>
                <w:color w:val="19322B"/>
                <w:sz w:val="21"/>
              </w:rPr>
              <w:t>Managed public destinations</w:t>
            </w:r>
          </w:p>
          <w:p>
            <w:pPr>
              <w:numPr>
                <w:ilvl w:val="0"/>
                <w:numId w:val="13"/>
              </w:numPr>
              <w:spacing w:before="0" w:after="60" w:line="252" w:lineRule="auto"/>
              <w:ind w:left="540" w:hanging="271"/>
            </w:pPr>
            <w:r>
              <w:rPr>
                <w:rFonts w:ascii="Segoe UI" w:hAnsi="Segoe UI"/>
                <w:color w:val="19322B"/>
                <w:sz w:val="21"/>
              </w:rPr>
              <w:t>Purpose and operating rules</w:t>
            </w:r>
          </w:p>
          <w:p>
            <w:pPr>
              <w:numPr>
                <w:ilvl w:val="0"/>
                <w:numId w:val="13"/>
              </w:numPr>
              <w:spacing w:before="0" w:after="60" w:line="252" w:lineRule="auto"/>
              <w:ind w:left="540" w:hanging="271"/>
            </w:pPr>
            <w:r>
              <w:rPr>
                <w:rFonts w:ascii="Segoe UI" w:hAnsi="Segoe UI"/>
                <w:color w:val="19322B"/>
                <w:sz w:val="21"/>
              </w:rPr>
              <w:t>System overview</w:t>
            </w:r>
          </w:p>
        </w:tc>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Important locations</w:t>
            </w:r>
          </w:p>
          <w:p>
            <w:pPr>
              <w:numPr>
                <w:ilvl w:val="0"/>
                <w:numId w:val="13"/>
              </w:numPr>
              <w:spacing w:before="0" w:after="60" w:line="252" w:lineRule="auto"/>
              <w:ind w:left="540" w:hanging="271"/>
            </w:pPr>
            <w:r>
              <w:rPr>
                <w:rFonts w:ascii="Segoe UI" w:hAnsi="Segoe UI"/>
                <w:color w:val="19322B"/>
                <w:sz w:val="21"/>
              </w:rPr>
              <w:t>Public route inventory</w:t>
            </w:r>
          </w:p>
          <w:p>
            <w:pPr>
              <w:numPr>
                <w:ilvl w:val="0"/>
                <w:numId w:val="13"/>
              </w:numPr>
              <w:spacing w:before="0" w:after="60" w:line="252" w:lineRule="auto"/>
              <w:ind w:left="540" w:hanging="271"/>
            </w:pPr>
            <w:r>
              <w:rPr>
                <w:rFonts w:ascii="Segoe UI" w:hAnsi="Segoe UI"/>
                <w:color w:val="19322B"/>
                <w:sz w:val="21"/>
              </w:rPr>
              <w:t>Shared frontend architecture</w:t>
            </w:r>
          </w:p>
          <w:p>
            <w:pPr>
              <w:numPr>
                <w:ilvl w:val="0"/>
                <w:numId w:val="13"/>
              </w:numPr>
              <w:spacing w:before="0" w:after="60" w:line="252" w:lineRule="auto"/>
              <w:ind w:left="540" w:hanging="271"/>
            </w:pPr>
            <w:r>
              <w:rPr>
                <w:rFonts w:ascii="Segoe UI" w:hAnsi="Segoe UI"/>
                <w:color w:val="19322B"/>
                <w:sz w:val="21"/>
              </w:rPr>
              <w:t>Content and data files</w:t>
            </w:r>
          </w:p>
          <w:p>
            <w:pPr>
              <w:numPr>
                <w:ilvl w:val="0"/>
                <w:numId w:val="13"/>
              </w:numPr>
              <w:spacing w:before="0" w:after="60" w:line="252" w:lineRule="auto"/>
              <w:ind w:left="540" w:hanging="271"/>
            </w:pPr>
            <w:r>
              <w:rPr>
                <w:rFonts w:ascii="Segoe UI" w:hAnsi="Segoe UI"/>
                <w:color w:val="19322B"/>
                <w:sz w:val="21"/>
              </w:rPr>
              <w:t>Interest form and response portal</w:t>
            </w:r>
          </w:p>
          <w:p>
            <w:pPr>
              <w:numPr>
                <w:ilvl w:val="0"/>
                <w:numId w:val="13"/>
              </w:numPr>
              <w:spacing w:before="0" w:after="60" w:line="252" w:lineRule="auto"/>
              <w:ind w:left="540" w:hanging="271"/>
            </w:pPr>
            <w:r>
              <w:rPr>
                <w:rFonts w:ascii="Segoe UI" w:hAnsi="Segoe UI"/>
                <w:color w:val="19322B"/>
                <w:sz w:val="21"/>
              </w:rPr>
              <w:t>Giving and PayPal</w:t>
            </w:r>
          </w:p>
          <w:p>
            <w:pPr>
              <w:numPr>
                <w:ilvl w:val="0"/>
                <w:numId w:val="13"/>
              </w:numPr>
              <w:spacing w:before="0" w:after="60" w:line="252" w:lineRule="auto"/>
              <w:ind w:left="540" w:hanging="271"/>
            </w:pPr>
            <w:r>
              <w:rPr>
                <w:rFonts w:ascii="Segoe UI" w:hAnsi="Segoe UI"/>
                <w:color w:val="19322B"/>
                <w:sz w:val="21"/>
              </w:rPr>
              <w:t>Scheduling</w:t>
            </w:r>
          </w:p>
          <w:p>
            <w:pPr>
              <w:numPr>
                <w:ilvl w:val="0"/>
                <w:numId w:val="13"/>
              </w:numPr>
              <w:spacing w:before="0" w:after="60" w:line="252" w:lineRule="auto"/>
              <w:ind w:left="540" w:hanging="271"/>
            </w:pPr>
            <w:r>
              <w:rPr>
                <w:rFonts w:ascii="Segoe UI" w:hAnsi="Segoe UI"/>
                <w:color w:val="19322B"/>
                <w:sz w:val="21"/>
              </w:rPr>
              <w:t>Local development</w:t>
            </w:r>
          </w:p>
          <w:p>
            <w:pPr>
              <w:numPr>
                <w:ilvl w:val="0"/>
                <w:numId w:val="13"/>
              </w:numPr>
              <w:spacing w:before="0" w:after="60" w:line="252" w:lineRule="auto"/>
              <w:ind w:left="540" w:hanging="271"/>
            </w:pPr>
            <w:r>
              <w:rPr>
                <w:rFonts w:ascii="Segoe UI" w:hAnsi="Segoe UI"/>
                <w:color w:val="19322B"/>
                <w:sz w:val="21"/>
              </w:rPr>
              <w:t>Validation standards</w:t>
            </w:r>
          </w:p>
          <w:p>
            <w:pPr>
              <w:numPr>
                <w:ilvl w:val="0"/>
                <w:numId w:val="13"/>
              </w:numPr>
              <w:spacing w:before="0" w:after="60" w:line="252" w:lineRule="auto"/>
              <w:ind w:left="540" w:hanging="271"/>
            </w:pPr>
            <w:r>
              <w:rPr>
                <w:rFonts w:ascii="Segoe UI" w:hAnsi="Segoe UI"/>
                <w:color w:val="19322B"/>
                <w:sz w:val="21"/>
              </w:rPr>
              <w:t>Common change workflows</w:t>
            </w:r>
          </w:p>
          <w:p>
            <w:pPr>
              <w:numPr>
                <w:ilvl w:val="0"/>
                <w:numId w:val="13"/>
              </w:numPr>
              <w:spacing w:before="0" w:after="60" w:line="252" w:lineRule="auto"/>
              <w:ind w:left="540" w:hanging="271"/>
            </w:pPr>
            <w:r>
              <w:rPr>
                <w:rFonts w:ascii="Segoe UI" w:hAnsi="Segoe UI"/>
                <w:color w:val="19322B"/>
                <w:sz w:val="21"/>
              </w:rPr>
              <w:t>Security and privacy rules</w:t>
            </w:r>
          </w:p>
          <w:p>
            <w:pPr>
              <w:numPr>
                <w:ilvl w:val="0"/>
                <w:numId w:val="13"/>
              </w:numPr>
              <w:spacing w:before="0" w:after="60" w:line="252" w:lineRule="auto"/>
              <w:ind w:left="540" w:hanging="271"/>
            </w:pPr>
            <w:r>
              <w:rPr>
                <w:rFonts w:ascii="Segoe UI" w:hAnsi="Segoe UI"/>
                <w:color w:val="19322B"/>
                <w:sz w:val="21"/>
              </w:rPr>
              <w:t>Deployment boundaries</w:t>
            </w:r>
          </w:p>
          <w:p>
            <w:pPr>
              <w:numPr>
                <w:ilvl w:val="0"/>
                <w:numId w:val="13"/>
              </w:numPr>
              <w:spacing w:before="0" w:after="60" w:line="252" w:lineRule="auto"/>
              <w:ind w:left="540" w:hanging="271"/>
            </w:pPr>
            <w:r>
              <w:rPr>
                <w:rFonts w:ascii="Segoe UI" w:hAnsi="Segoe UI"/>
                <w:color w:val="19322B"/>
                <w:sz w:val="21"/>
              </w:rPr>
              <w:t>Documentation maintenance</w:t>
            </w:r>
          </w:p>
          <w:p>
            <w:pPr>
              <w:numPr>
                <w:ilvl w:val="0"/>
                <w:numId w:val="13"/>
              </w:numPr>
              <w:spacing w:before="0" w:after="60" w:line="252" w:lineRule="auto"/>
              <w:ind w:left="540" w:hanging="271"/>
            </w:pPr>
            <w:r>
              <w:rPr>
                <w:rFonts w:ascii="Segoe UI" w:hAnsi="Segoe UI"/>
                <w:color w:val="19322B"/>
                <w:sz w:val="21"/>
              </w:rPr>
              <w:t>Handoff checklist</w:t>
            </w:r>
          </w:p>
          <w:p>
            <w:pPr>
              <w:numPr>
                <w:ilvl w:val="0"/>
                <w:numId w:val="13"/>
              </w:numPr>
              <w:spacing w:before="0" w:after="60" w:line="252" w:lineRule="auto"/>
              <w:ind w:left="540" w:hanging="271"/>
            </w:pPr>
            <w:r>
              <w:rPr>
                <w:rFonts w:ascii="Segoe UI" w:hAnsi="Segoe UI"/>
                <w:color w:val="19322B"/>
                <w:sz w:val="21"/>
              </w:rPr>
              <w:t>Ministry Management workspace</w:t>
            </w:r>
          </w:p>
          <w:p>
            <w:pPr>
              <w:numPr>
                <w:ilvl w:val="0"/>
                <w:numId w:val="13"/>
              </w:numPr>
              <w:spacing w:before="0" w:after="60" w:line="252" w:lineRule="auto"/>
              <w:ind w:left="540" w:hanging="271"/>
            </w:pPr>
            <w:r>
              <w:rPr>
                <w:rFonts w:ascii="Segoe UI" w:hAnsi="Segoe UI"/>
                <w:color w:val="19322B"/>
                <w:sz w:val="21"/>
              </w:rPr>
              <w:t>Expanded bookkeeping workspace</w:t>
            </w:r>
          </w:p>
          <w:p>
            <w:pPr>
              <w:numPr>
                <w:ilvl w:val="0"/>
                <w:numId w:val="13"/>
              </w:numPr>
              <w:spacing w:before="0" w:after="60" w:line="252" w:lineRule="auto"/>
              <w:ind w:left="540" w:hanging="271"/>
            </w:pPr>
            <w:r>
              <w:rPr>
                <w:rFonts w:ascii="Segoe UI" w:hAnsi="Segoe UI"/>
                <w:color w:val="19322B"/>
                <w:sz w:val="21"/>
              </w:rPr>
              <w:t>User deletion</w:t>
            </w:r>
          </w:p>
          <w:p>
            <w:pPr>
              <w:numPr>
                <w:ilvl w:val="0"/>
                <w:numId w:val="13"/>
              </w:numPr>
              <w:spacing w:before="0" w:after="60" w:line="252" w:lineRule="auto"/>
              <w:ind w:left="540" w:hanging="271"/>
            </w:pPr>
            <w:r>
              <w:rPr>
                <w:rFonts w:ascii="Segoe UI" w:hAnsi="Segoe UI"/>
                <w:color w:val="19322B"/>
                <w:sz w:val="21"/>
              </w:rPr>
              <w:t>Personally received ministry gifts</w:t>
            </w:r>
          </w:p>
          <w:p>
            <w:pPr>
              <w:numPr>
                <w:ilvl w:val="0"/>
                <w:numId w:val="13"/>
              </w:numPr>
              <w:spacing w:before="0" w:after="60" w:line="252" w:lineRule="auto"/>
              <w:ind w:left="540" w:hanging="271"/>
            </w:pPr>
            <w:r>
              <w:rPr>
                <w:rFonts w:ascii="Segoe UI" w:hAnsi="Segoe UI"/>
                <w:color w:val="19322B"/>
                <w:sz w:val="21"/>
              </w:rPr>
              <w:t>Public following while a trip is Traveling</w:t>
            </w:r>
          </w:p>
          <w:p>
            <w:pPr>
              <w:numPr>
                <w:ilvl w:val="0"/>
                <w:numId w:val="13"/>
              </w:numPr>
              <w:spacing w:before="0" w:after="60" w:line="252" w:lineRule="auto"/>
              <w:ind w:left="540" w:hanging="271"/>
            </w:pPr>
            <w:r>
              <w:rPr>
                <w:rFonts w:ascii="Segoe UI" w:hAnsi="Segoe UI"/>
                <w:color w:val="19322B"/>
                <w:sz w:val="21"/>
              </w:rPr>
              <w:t>Gift thank-you email acknowledgments</w:t>
            </w:r>
          </w:p>
          <w:p>
            <w:pPr>
              <w:numPr>
                <w:ilvl w:val="0"/>
                <w:numId w:val="13"/>
              </w:numPr>
              <w:spacing w:before="0" w:after="60" w:line="252" w:lineRule="auto"/>
              <w:ind w:left="540" w:hanging="271"/>
            </w:pPr>
            <w:r>
              <w:rPr>
                <w:rFonts w:ascii="Segoe UI" w:hAnsi="Segoe UI"/>
                <w:color w:val="19322B"/>
                <w:sz w:val="21"/>
              </w:rPr>
              <w:t>Isolated public story preview</w:t>
            </w:r>
          </w:p>
          <w:p>
            <w:pPr>
              <w:numPr>
                <w:ilvl w:val="0"/>
                <w:numId w:val="13"/>
              </w:numPr>
              <w:spacing w:before="0" w:after="60" w:line="252" w:lineRule="auto"/>
              <w:ind w:left="540" w:hanging="271"/>
            </w:pPr>
            <w:r>
              <w:rPr>
                <w:rFonts w:ascii="Segoe UI" w:hAnsi="Segoe UI"/>
                <w:color w:val="19322B"/>
                <w:sz w:val="21"/>
              </w:rPr>
              <w:t>Contact relationships and donor matching</w:t>
            </w:r>
          </w:p>
          <w:p>
            <w:pPr>
              <w:numPr>
                <w:ilvl w:val="0"/>
                <w:numId w:val="13"/>
              </w:numPr>
              <w:spacing w:before="0" w:after="60" w:line="252" w:lineRule="auto"/>
              <w:ind w:left="540" w:hanging="271"/>
            </w:pPr>
            <w:r>
              <w:rPr>
                <w:rFonts w:ascii="Segoe UI" w:hAnsi="Segoe UI"/>
                <w:color w:val="19322B"/>
                <w:sz w:val="21"/>
              </w:rPr>
              <w:t>Local book reader</w:t>
            </w:r>
          </w:p>
          <w:p>
            <w:pPr>
              <w:numPr>
                <w:ilvl w:val="0"/>
                <w:numId w:val="13"/>
              </w:numPr>
              <w:spacing w:before="0" w:after="60" w:line="252" w:lineRule="auto"/>
              <w:ind w:left="540" w:hanging="271"/>
            </w:pPr>
            <w:r>
              <w:rPr>
                <w:rFonts w:ascii="Segoe UI" w:hAnsi="Segoe UI"/>
                <w:color w:val="19322B"/>
                <w:sz w:val="21"/>
              </w:rPr>
              <w:t>Portal account/contact associations</w:t>
            </w:r>
          </w:p>
          <w:p>
            <w:pPr>
              <w:numPr>
                <w:ilvl w:val="0"/>
                <w:numId w:val="13"/>
              </w:numPr>
              <w:spacing w:before="0" w:after="60" w:line="252" w:lineRule="auto"/>
              <w:ind w:left="540" w:hanging="271"/>
            </w:pPr>
            <w:r>
              <w:rPr>
                <w:rFonts w:ascii="Segoe UI" w:hAnsi="Segoe UI"/>
                <w:color w:val="19322B"/>
                <w:sz w:val="21"/>
              </w:rPr>
              <w:t>Preview checkpoint and pathway exploration</w:t>
            </w:r>
          </w:p>
          <w:p>
            <w:pPr>
              <w:numPr>
                <w:ilvl w:val="0"/>
                <w:numId w:val="13"/>
              </w:numPr>
              <w:spacing w:before="0" w:after="60" w:line="252" w:lineRule="auto"/>
              <w:ind w:left="540" w:hanging="271"/>
            </w:pPr>
            <w:r>
              <w:rPr>
                <w:rFonts w:ascii="Segoe UI" w:hAnsi="Segoe UI"/>
                <w:color w:val="19322B"/>
                <w:sz w:val="21"/>
              </w:rPr>
              <w:t>Generated margin variant</w:t>
            </w:r>
          </w:p>
          <w:p>
            <w:pPr>
              <w:numPr>
                <w:ilvl w:val="0"/>
                <w:numId w:val="13"/>
              </w:numPr>
              <w:spacing w:before="0" w:after="60" w:line="252" w:lineRule="auto"/>
              <w:ind w:left="540" w:hanging="271"/>
            </w:pPr>
            <w:r>
              <w:rPr>
                <w:rFonts w:ascii="Segoe UI" w:hAnsi="Segoe UI"/>
                <w:color w:val="19322B"/>
                <w:sz w:val="21"/>
              </w:rPr>
              <w:t>Completed-trip traveler portal navigation</w:t>
            </w:r>
          </w:p>
          <w:p>
            <w:pPr>
              <w:numPr>
                <w:ilvl w:val="0"/>
                <w:numId w:val="13"/>
              </w:numPr>
              <w:spacing w:before="0" w:after="60" w:line="252" w:lineRule="auto"/>
              <w:ind w:left="540" w:hanging="271"/>
            </w:pPr>
            <w:r>
              <w:rPr>
                <w:rFonts w:ascii="Segoe UI" w:hAnsi="Segoe UI"/>
                <w:color w:val="19322B"/>
                <w:sz w:val="21"/>
              </w:rPr>
              <w:t>Public trip journal before photos</w:t>
            </w:r>
          </w:p>
          <w:p>
            <w:pPr>
              <w:numPr>
                <w:ilvl w:val="0"/>
                <w:numId w:val="13"/>
              </w:numPr>
              <w:spacing w:before="0" w:after="60" w:line="252" w:lineRule="auto"/>
              <w:ind w:left="540" w:hanging="271"/>
            </w:pPr>
            <w:r>
              <w:rPr>
                <w:rFonts w:ascii="Segoe UI" w:hAnsi="Segoe UI"/>
                <w:color w:val="19322B"/>
                <w:sz w:val="21"/>
              </w:rPr>
              <w:t>Revision history</w:t>
            </w:r>
          </w:p>
        </w:tc>
      </w:tr>
    </w:tbl>
    <w:p>
      <w:pPr>
        <w:pStyle w:val="Heading1"/>
        <w:pageBreakBefore/>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