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1.4</w:t>
      </w:r>
      <w:r>
        <w:rPr>
          <w:rFonts w:ascii="Segoe UI" w:hAnsi="Segoe UI"/>
          <w:color w:val="D99B42"/>
          <w:sz w:val="20"/>
        </w:rPr>
        <w:t xml:space="preserve">  •  </w:t>
      </w:r>
      <w:r>
        <w:rPr>
          <w:rFonts w:ascii="Segoe UI" w:hAnsi="Segoe UI"/>
          <w:color w:val="60726B"/>
          <w:sz w:val="20"/>
        </w:rPr>
        <w:t>Last reviewed August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to a different D1 database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r>
      <w:tr>
        <w:trPr>
          <w:cantSplit/>
        </w:trPr>
        <w:tc>
          <w:tcPr>
            <w:tcW w:type="dxa" w:w="2100"/>
            <w:vAlign w:val="center"/>
          </w:tcPr>
          <w:p>
            <w:pPr>
              <w:spacing w:before="0" w:after="30" w:line="240" w:lineRule="auto"/>
            </w:pPr>
            <w:r>
              <w:rPr>
                <w:rFonts w:ascii="Segoe UI" w:hAnsi="Segoe UI"/>
                <w:color w:val="19322B"/>
                <w:sz w:val="16"/>
              </w:rPr>
              <w:t>Test</w:t>
            </w:r>
          </w:p>
        </w:tc>
        <w:tc>
          <w:tcPr>
            <w:tcW w:type="dxa" w:w="2500"/>
            <w:vAlign w:val="center"/>
          </w:tcPr>
          <w:p>
            <w:pPr>
              <w:spacing w:before="0" w:after="30" w:line="240" w:lineRule="auto"/>
            </w:pPr>
            <w:r>
              <w:rPr>
                <w:rFonts w:ascii="Consolas" w:hAnsi="Consolas"/>
                <w:color w:val="173F35"/>
                <w:sz w:val="17"/>
                <w:shd w:fill="EDF5F1"/>
              </w:rPr>
              <w:t>hope-sojourns-interest-test</w:t>
            </w:r>
          </w:p>
        </w:tc>
        <w:tc>
          <w:tcPr>
            <w:tcW w:type="dxa" w:w="158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3180"/>
            <w:vAlign w:val="center"/>
          </w:tcPr>
          <w:p>
            <w:pPr>
              <w:spacing w:before="0" w:after="30" w:line="240" w:lineRule="auto"/>
            </w:pPr>
            <w:r>
              <w:rPr>
                <w:rFonts w:ascii="Consolas" w:hAnsi="Consolas"/>
                <w:color w:val="173F35"/>
                <w:sz w:val="17"/>
                <w:shd w:fill="EDF5F1"/>
              </w:rPr>
              <w:t>hope-sojourns-forms-test</w:t>
            </w:r>
          </w:p>
        </w:tc>
      </w:tr>
      <w:tr>
        <w:trPr>
          <w:cantSplit/>
        </w:trPr>
        <w:tc>
          <w:tcPr>
            <w:tcW w:type="dxa" w:w="2100"/>
            <w:vAlign w:val="center"/>
          </w:tcPr>
          <w:p>
            <w:pPr>
              <w:spacing w:before="0" w:after="30" w:line="240" w:lineRule="auto"/>
            </w:pPr>
            <w:r>
              <w:rPr>
                <w:rFonts w:ascii="Segoe UI" w:hAnsi="Segoe UI"/>
                <w:color w:val="19322B"/>
                <w:sz w:val="16"/>
              </w:rPr>
              <w:t>Production</w:t>
            </w:r>
          </w:p>
        </w:tc>
        <w:tc>
          <w:tcPr>
            <w:tcW w:type="dxa" w:w="2500"/>
            <w:vAlign w:val="center"/>
          </w:tcPr>
          <w:p>
            <w:pPr>
              <w:spacing w:before="0" w:after="30" w:line="240" w:lineRule="auto"/>
            </w:pPr>
            <w:r>
              <w:rPr>
                <w:rFonts w:ascii="Consolas" w:hAnsi="Consolas"/>
                <w:color w:val="173F35"/>
                <w:sz w:val="17"/>
                <w:shd w:fill="EDF5F1"/>
              </w:rPr>
              <w:t>hope-sojourns-interest-production</w:t>
            </w:r>
          </w:p>
        </w:tc>
        <w:tc>
          <w:tcPr>
            <w:tcW w:type="dxa" w:w="158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3180"/>
            <w:vAlign w:val="center"/>
          </w:tcPr>
          <w:p>
            <w:pPr>
              <w:spacing w:before="0" w:after="30" w:line="240" w:lineRule="auto"/>
            </w:pPr>
            <w:r>
              <w:rPr>
                <w:rFonts w:ascii="Consolas" w:hAnsi="Consolas"/>
                <w:color w:val="173F35"/>
                <w:sz w:val="17"/>
                <w:shd w:fill="EDF5F1"/>
              </w:rPr>
              <w:t>hope-sojourns-forms-production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or database IDs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backup, credential row, or user-data row into production. Production is initialized only by applying the numbered migrations to its empty database; the migrations seed the legitimate opportunity catalog but no contacts, submissions, teams, ministries, sessions, or administrator credentials.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Next/>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r>
        <w:rPr>
          <w:rFonts w:ascii="Segoe UI" w:hAnsi="Segoe UI"/>
          <w:color w:val="19322B"/>
          <w:sz w:val="22"/>
        </w:rPr>
        <w:t>Do not edit a migration that has already been applied to a shared environment. Add a new numbered migration.</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portal supports people, submissions, contact editing/import, teams, ministries, internship-toolkit access, replies, status changes, CSV export, and confirmed deletion flows.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Next/>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and deployment commands. Production launch order is: validate isolation, create or verify the production D1 database, apply production migrations, set production-only secrets, dry-run the production Worker, deploy it, publish the production Pages build, and verify both production hostnames. Test data must remain bound only to the test Worker and database.</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