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4.4.3</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Individual MMT accounts and phone storage</w:t>
      </w:r>
    </w:p>
    <w:p>
      <w:pPr>
        <w:numPr>
          <w:ilvl w:val="0"/>
          <w:numId w:val="13"/>
        </w:numPr>
        <w:spacing w:before="0" w:after="80" w:line="300" w:lineRule="auto"/>
        <w:ind w:left="540" w:hanging="271"/>
      </w:pPr>
      <w:r>
        <w:rPr>
          <w:rFonts w:ascii="Segoe UI" w:hAnsi="Segoe UI"/>
          <w:color w:val="19322B"/>
          <w:sz w:val="21"/>
        </w:rPr>
        <w:t>Managed public destinations</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Ministry Management workspace</w:t>
      </w:r>
    </w:p>
    <w:p>
      <w:pPr>
        <w:numPr>
          <w:ilvl w:val="0"/>
          <w:numId w:val="13"/>
        </w:numPr>
        <w:spacing w:before="0" w:after="80" w:line="300" w:lineRule="auto"/>
        <w:ind w:left="540" w:hanging="271"/>
      </w:pPr>
      <w:r>
        <w:rPr>
          <w:rFonts w:ascii="Segoe UI" w:hAnsi="Segoe UI"/>
          <w:color w:val="19322B"/>
          <w:sz w:val="21"/>
        </w:rPr>
        <w:t>Expanded bookkeeping workspace</w:t>
      </w:r>
    </w:p>
    <w:p>
      <w:pPr>
        <w:numPr>
          <w:ilvl w:val="0"/>
          <w:numId w:val="13"/>
        </w:numPr>
        <w:spacing w:before="0" w:after="80" w:line="300" w:lineRule="auto"/>
        <w:ind w:left="540" w:hanging="271"/>
      </w:pPr>
      <w:r>
        <w:rPr>
          <w:rFonts w:ascii="Segoe UI" w:hAnsi="Segoe UI"/>
          <w:color w:val="19322B"/>
          <w:sz w:val="21"/>
        </w:rPr>
        <w:t>User deletion</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Individual MMT accounts and phone storage</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reject redirects, use a per-token idempotency key, and do not automatically retry or fall back to another provider.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failed trip messages, incomplete budgets, and extensible ministry events. Source records determine action status; the inbox does not post a second payment. Current lists are bounded to 250 recent requests, payments, and custom events, and 100 failed messages and incomplete budgets.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