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4.5.6</w:t>
      </w:r>
      <w:r>
        <w:rPr>
          <w:rFonts w:ascii="Segoe UI" w:hAnsi="Segoe UI"/>
          <w:color w:val="D99B42"/>
          <w:sz w:val="20"/>
        </w:rPr>
        <w:t xml:space="preserve">  •  </w:t>
      </w:r>
      <w:r>
        <w:rPr>
          <w:rFonts w:ascii="Segoe UI" w:hAnsi="Segoe UI"/>
          <w:color w:val="60726B"/>
          <w:sz w:val="20"/>
        </w:rPr>
        <w:t>Last reviewed September 20,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Dated trip preview layout</w:t>
      </w:r>
    </w:p>
    <w:p>
      <w:pPr>
        <w:numPr>
          <w:ilvl w:val="0"/>
          <w:numId w:val="13"/>
        </w:numPr>
        <w:spacing w:before="0" w:after="60" w:line="240" w:lineRule="auto"/>
        <w:ind w:left="540" w:hanging="271"/>
      </w:pPr>
      <w:r>
        <w:rPr>
          <w:rFonts w:ascii="Segoe UI" w:hAnsi="Segoe UI"/>
          <w:color w:val="19322B"/>
          <w:sz w:val="21"/>
        </w:rPr>
        <w:t>Current shared trip password</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directory and spreadsheet</w:t>
      </w:r>
    </w:p>
    <w:p>
      <w:pPr>
        <w:numPr>
          <w:ilvl w:val="0"/>
          <w:numId w:val="13"/>
        </w:numPr>
        <w:spacing w:before="0" w:after="60" w:line="240" w:lineRule="auto"/>
        <w:ind w:left="540" w:hanging="271"/>
      </w:pPr>
      <w:r>
        <w:rPr>
          <w:rFonts w:ascii="Segoe UI" w:hAnsi="Segoe UI"/>
          <w:color w:val="19322B"/>
          <w:sz w:val="21"/>
        </w:rPr>
        <w:t>Trip budget comparison and bulk editing</w:t>
      </w:r>
    </w:p>
    <w:p>
      <w:pPr>
        <w:numPr>
          <w:ilvl w:val="0"/>
          <w:numId w:val="13"/>
        </w:numPr>
        <w:spacing w:before="0" w:after="60" w:line="240" w:lineRule="auto"/>
        <w:ind w:left="540" w:hanging="271"/>
      </w:pPr>
      <w:r>
        <w:rPr>
          <w:rFonts w:ascii="Segoe UI" w:hAnsi="Segoe UI"/>
          <w:color w:val="19322B"/>
          <w:sz w:val="21"/>
        </w:rPr>
        <w:t>Shared portal account management</w:t>
      </w:r>
    </w:p>
    <w:p>
      <w:pPr>
        <w:numPr>
          <w:ilvl w:val="0"/>
          <w:numId w:val="13"/>
        </w:numPr>
        <w:spacing w:before="0" w:after="60" w:line="240" w:lineRule="auto"/>
        <w:ind w:left="540" w:hanging="271"/>
      </w:pPr>
      <w:r>
        <w:rPr>
          <w:rFonts w:ascii="Segoe UI" w:hAnsi="Segoe UI"/>
          <w:color w:val="19322B"/>
          <w:sz w:val="21"/>
        </w:rPr>
        <w:t>Donation split editor</w:t>
      </w:r>
    </w:p>
    <w:p>
      <w:pPr>
        <w:numPr>
          <w:ilvl w:val="0"/>
          <w:numId w:val="13"/>
        </w:numPr>
        <w:spacing w:before="0" w:after="60" w:line="240" w:lineRule="auto"/>
        <w:ind w:left="540" w:hanging="271"/>
      </w:pPr>
      <w:r>
        <w:rPr>
          <w:rFonts w:ascii="Segoe UI" w:hAnsi="Segoe UI"/>
          <w:color w:val="19322B"/>
          <w:sz w:val="21"/>
        </w:rPr>
        <w:t>MMT account and access screens</w:t>
      </w:r>
    </w:p>
    <w:p>
      <w:pPr>
        <w:numPr>
          <w:ilvl w:val="0"/>
          <w:numId w:val="13"/>
        </w:numPr>
        <w:spacing w:before="0" w:after="60" w:line="240" w:lineRule="auto"/>
        <w:ind w:left="540" w:hanging="271"/>
      </w:pPr>
      <w:r>
        <w:rPr>
          <w:rFonts w:ascii="Segoe UI" w:hAnsi="Segoe UI"/>
          <w:color w:val="19322B"/>
          <w:sz w:val="21"/>
        </w:rPr>
        <w:t>Destination management patterns</w:t>
      </w:r>
    </w:p>
    <w:p>
      <w:pPr>
        <w:numPr>
          <w:ilvl w:val="0"/>
          <w:numId w:val="13"/>
        </w:numPr>
        <w:spacing w:before="0" w:after="60" w:line="240" w:lineRule="auto"/>
        <w:ind w:left="540" w:hanging="271"/>
      </w:pPr>
      <w:r>
        <w:rPr>
          <w:rFonts w:ascii="Segoe UI" w:hAnsi="Segoe UI"/>
          <w:color w:val="19322B"/>
          <w:sz w:val="21"/>
        </w:rPr>
        <w:t>Purpose</w:t>
      </w:r>
    </w:p>
    <w:p>
      <w:pPr>
        <w:numPr>
          <w:ilvl w:val="0"/>
          <w:numId w:val="13"/>
        </w:numPr>
        <w:spacing w:before="0" w:after="60" w:line="240" w:lineRule="auto"/>
        <w:ind w:left="540" w:hanging="271"/>
      </w:pPr>
      <w:r>
        <w:rPr>
          <w:rFonts w:ascii="Segoe UI" w:hAnsi="Segoe UI"/>
          <w:color w:val="19322B"/>
          <w:sz w:val="21"/>
        </w:rPr>
        <w:t>Canonical design sources</w:t>
      </w:r>
    </w:p>
    <w:p>
      <w:pPr>
        <w:numPr>
          <w:ilvl w:val="0"/>
          <w:numId w:val="13"/>
        </w:numPr>
        <w:spacing w:before="0" w:after="60" w:line="240" w:lineRule="auto"/>
        <w:ind w:left="540" w:hanging="271"/>
      </w:pPr>
      <w:r>
        <w:rPr>
          <w:rFonts w:ascii="Segoe UI" w:hAnsi="Segoe UI"/>
          <w:color w:val="19322B"/>
          <w:sz w:val="21"/>
        </w:rPr>
        <w:t>Brand foundation</w:t>
      </w:r>
    </w:p>
    <w:p>
      <w:pPr>
        <w:numPr>
          <w:ilvl w:val="0"/>
          <w:numId w:val="13"/>
        </w:numPr>
        <w:spacing w:before="0" w:after="60" w:line="240" w:lineRule="auto"/>
        <w:ind w:left="540" w:hanging="271"/>
      </w:pPr>
      <w:r>
        <w:rPr>
          <w:rFonts w:ascii="Segoe UI" w:hAnsi="Segoe UI"/>
          <w:color w:val="19322B"/>
          <w:sz w:val="21"/>
        </w:rPr>
        <w:t>Logo system</w:t>
      </w:r>
    </w:p>
    <w:p>
      <w:pPr>
        <w:numPr>
          <w:ilvl w:val="0"/>
          <w:numId w:val="13"/>
        </w:numPr>
        <w:spacing w:before="0" w:after="60" w:line="240" w:lineRule="auto"/>
        <w:ind w:left="540" w:hanging="271"/>
      </w:pPr>
      <w:r>
        <w:rPr>
          <w:rFonts w:ascii="Segoe UI" w:hAnsi="Segoe UI"/>
          <w:color w:val="19322B"/>
          <w:sz w:val="21"/>
        </w:rPr>
        <w:t>Color system</w:t>
      </w:r>
    </w:p>
    <w:p>
      <w:pPr>
        <w:numPr>
          <w:ilvl w:val="0"/>
          <w:numId w:val="13"/>
        </w:numPr>
        <w:spacing w:before="0" w:after="60" w:line="240" w:lineRule="auto"/>
        <w:ind w:left="540" w:hanging="271"/>
      </w:pPr>
      <w:r>
        <w:rPr>
          <w:rFonts w:ascii="Segoe UI" w:hAnsi="Segoe UI"/>
          <w:color w:val="19322B"/>
          <w:sz w:val="21"/>
        </w:rPr>
        <w:t>Typography</w:t>
      </w:r>
    </w:p>
    <w:p>
      <w:pPr>
        <w:numPr>
          <w:ilvl w:val="0"/>
          <w:numId w:val="13"/>
        </w:numPr>
        <w:spacing w:before="0" w:after="60" w:line="240" w:lineRule="auto"/>
        <w:ind w:left="540" w:hanging="271"/>
      </w:pPr>
      <w:r>
        <w:rPr>
          <w:rFonts w:ascii="Segoe UI" w:hAnsi="Segoe UI"/>
          <w:color w:val="19322B"/>
          <w:sz w:val="21"/>
        </w:rPr>
        <w:t>Layout and spacing</w:t>
      </w:r>
    </w:p>
    <w:p>
      <w:pPr>
        <w:numPr>
          <w:ilvl w:val="0"/>
          <w:numId w:val="13"/>
        </w:numPr>
        <w:spacing w:before="0" w:after="60" w:line="240" w:lineRule="auto"/>
        <w:ind w:left="540" w:hanging="271"/>
      </w:pPr>
      <w:r>
        <w:rPr>
          <w:rFonts w:ascii="Segoe UI" w:hAnsi="Segoe UI"/>
          <w:color w:val="19322B"/>
          <w:sz w:val="21"/>
        </w:rPr>
        <w:t>Core components</w:t>
      </w:r>
    </w:p>
    <w:p>
      <w:pPr>
        <w:numPr>
          <w:ilvl w:val="0"/>
          <w:numId w:val="13"/>
        </w:numPr>
        <w:spacing w:before="0" w:after="60" w:line="240" w:lineRule="auto"/>
        <w:ind w:left="540" w:hanging="271"/>
      </w:pPr>
      <w:r>
        <w:rPr>
          <w:rFonts w:ascii="Segoe UI" w:hAnsi="Segoe UI"/>
          <w:color w:val="19322B"/>
          <w:sz w:val="21"/>
        </w:rPr>
        <w:t>Photography and media</w:t>
      </w:r>
    </w:p>
    <w:p>
      <w:pPr>
        <w:numPr>
          <w:ilvl w:val="0"/>
          <w:numId w:val="13"/>
        </w:numPr>
        <w:spacing w:before="0" w:after="60" w:line="240" w:lineRule="auto"/>
        <w:ind w:left="540" w:hanging="271"/>
      </w:pPr>
      <w:r>
        <w:rPr>
          <w:rFonts w:ascii="Segoe UI" w:hAnsi="Segoe UI"/>
          <w:color w:val="19322B"/>
          <w:sz w:val="21"/>
        </w:rPr>
        <w:t>Voice and content standards</w:t>
      </w:r>
    </w:p>
    <w:p>
      <w:pPr>
        <w:numPr>
          <w:ilvl w:val="0"/>
          <w:numId w:val="13"/>
        </w:numPr>
        <w:spacing w:before="0" w:after="60" w:line="240" w:lineRule="auto"/>
        <w:ind w:left="540" w:hanging="271"/>
      </w:pPr>
      <w:r>
        <w:rPr>
          <w:rFonts w:ascii="Segoe UI" w:hAnsi="Segoe UI"/>
          <w:color w:val="19322B"/>
          <w:sz w:val="21"/>
        </w:rPr>
        <w:t>Accessibility standards</w:t>
      </w:r>
    </w:p>
    <w:p>
      <w:pPr>
        <w:numPr>
          <w:ilvl w:val="0"/>
          <w:numId w:val="13"/>
        </w:numPr>
        <w:spacing w:before="0" w:after="60" w:line="240" w:lineRule="auto"/>
        <w:ind w:left="540" w:hanging="271"/>
      </w:pPr>
      <w:r>
        <w:rPr>
          <w:rFonts w:ascii="Segoe UI" w:hAnsi="Segoe UI"/>
          <w:color w:val="19322B"/>
          <w:sz w:val="21"/>
        </w:rPr>
        <w:t>Motion standards</w:t>
      </w:r>
    </w:p>
    <w:p>
      <w:pPr>
        <w:numPr>
          <w:ilvl w:val="0"/>
          <w:numId w:val="13"/>
        </w:numPr>
        <w:spacing w:before="0" w:after="60" w:line="240" w:lineRule="auto"/>
        <w:ind w:left="540" w:hanging="271"/>
      </w:pPr>
      <w:r>
        <w:rPr>
          <w:rFonts w:ascii="Segoe UI" w:hAnsi="Segoe UI"/>
          <w:color w:val="19322B"/>
          <w:sz w:val="21"/>
        </w:rPr>
        <w:t>New page checklist</w:t>
      </w:r>
    </w:p>
    <w:p>
      <w:pPr>
        <w:numPr>
          <w:ilvl w:val="0"/>
          <w:numId w:val="13"/>
        </w:numPr>
        <w:spacing w:before="0" w:after="60" w:line="240" w:lineRule="auto"/>
        <w:ind w:left="540" w:hanging="271"/>
      </w:pPr>
      <w:r>
        <w:rPr>
          <w:rFonts w:ascii="Segoe UI" w:hAnsi="Segoe UI"/>
          <w:color w:val="19322B"/>
          <w:sz w:val="21"/>
        </w:rPr>
        <w:t>Governance</w:t>
      </w:r>
    </w:p>
    <w:p>
      <w:pPr>
        <w:numPr>
          <w:ilvl w:val="0"/>
          <w:numId w:val="13"/>
        </w:numPr>
        <w:spacing w:before="0" w:after="60" w:line="240" w:lineRule="auto"/>
        <w:ind w:left="540" w:hanging="271"/>
      </w:pPr>
      <w:r>
        <w:rPr>
          <w:rFonts w:ascii="Segoe UI" w:hAnsi="Segoe UI"/>
          <w:color w:val="19322B"/>
          <w:sz w:val="21"/>
        </w:rPr>
        <w:t>Ministry Management interface</w:t>
      </w:r>
    </w:p>
    <w:p>
      <w:pPr>
        <w:numPr>
          <w:ilvl w:val="0"/>
          <w:numId w:val="13"/>
        </w:numPr>
        <w:spacing w:before="0" w:after="60" w:line="240" w:lineRule="auto"/>
        <w:ind w:left="540" w:hanging="271"/>
      </w:pPr>
      <w:r>
        <w:rPr>
          <w:rFonts w:ascii="Segoe UI" w:hAnsi="Segoe UI"/>
          <w:color w:val="19322B"/>
          <w:sz w:val="21"/>
        </w:rPr>
        <w:t>Expanded bookkeeping screens</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