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4.5.3</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follow up editing</w:t>
      </w:r>
    </w:p>
    <w:p>
      <w:pPr>
        <w:numPr>
          <w:ilvl w:val="0"/>
          <w:numId w:val="13"/>
        </w:numPr>
        <w:spacing w:before="0" w:after="60" w:line="240" w:lineRule="auto"/>
        <w:ind w:left="540" w:hanging="271"/>
      </w:pPr>
      <w:r>
        <w:rPr>
          <w:rFonts w:ascii="Segoe UI" w:hAnsi="Segoe UI"/>
          <w:color w:val="19322B"/>
          <w:sz w:val="21"/>
        </w:rPr>
        <w:t>Trip budget funding and bulk updates</w:t>
      </w:r>
    </w:p>
    <w:p>
      <w:pPr>
        <w:numPr>
          <w:ilvl w:val="0"/>
          <w:numId w:val="13"/>
        </w:numPr>
        <w:spacing w:before="0" w:after="60" w:line="240" w:lineRule="auto"/>
        <w:ind w:left="540" w:hanging="271"/>
      </w:pPr>
      <w:r>
        <w:rPr>
          <w:rFonts w:ascii="Segoe UI" w:hAnsi="Segoe UI"/>
          <w:color w:val="19322B"/>
          <w:sz w:val="21"/>
        </w:rPr>
        <w:t>Shared HS and CSM accounts</w:t>
      </w:r>
    </w:p>
    <w:p>
      <w:pPr>
        <w:numPr>
          <w:ilvl w:val="0"/>
          <w:numId w:val="13"/>
        </w:numPr>
        <w:spacing w:before="0" w:after="60" w:line="240" w:lineRule="auto"/>
        <w:ind w:left="540" w:hanging="271"/>
      </w:pPr>
      <w:r>
        <w:rPr>
          <w:rFonts w:ascii="Segoe UI" w:hAnsi="Segoe UI"/>
          <w:color w:val="19322B"/>
          <w:sz w:val="21"/>
        </w:rPr>
        <w:t>Donation allocations</w:t>
      </w:r>
    </w:p>
    <w:p>
      <w:pPr>
        <w:numPr>
          <w:ilvl w:val="0"/>
          <w:numId w:val="13"/>
        </w:numPr>
        <w:spacing w:before="0" w:after="60" w:line="240" w:lineRule="auto"/>
        <w:ind w:left="540" w:hanging="271"/>
      </w:pPr>
      <w:r>
        <w:rPr>
          <w:rFonts w:ascii="Segoe UI" w:hAnsi="Segoe UI"/>
          <w:color w:val="19322B"/>
          <w:sz w:val="21"/>
        </w:rPr>
        <w:t>Individual MMT accounts and phone storage</w:t>
      </w:r>
    </w:p>
    <w:p>
      <w:pPr>
        <w:numPr>
          <w:ilvl w:val="0"/>
          <w:numId w:val="13"/>
        </w:numPr>
        <w:spacing w:before="0" w:after="60" w:line="240" w:lineRule="auto"/>
        <w:ind w:left="540" w:hanging="271"/>
      </w:pPr>
      <w:r>
        <w:rPr>
          <w:rFonts w:ascii="Segoe UI" w:hAnsi="Segoe UI"/>
          <w:color w:val="19322B"/>
          <w:sz w:val="21"/>
        </w:rPr>
        <w:t>Managed public destinations</w:t>
      </w:r>
    </w:p>
    <w:p>
      <w:pPr>
        <w:numPr>
          <w:ilvl w:val="0"/>
          <w:numId w:val="13"/>
        </w:numPr>
        <w:spacing w:before="0" w:after="60" w:line="240" w:lineRule="auto"/>
        <w:ind w:left="540" w:hanging="271"/>
      </w:pPr>
      <w:r>
        <w:rPr>
          <w:rFonts w:ascii="Segoe UI" w:hAnsi="Segoe UI"/>
          <w:color w:val="19322B"/>
          <w:sz w:val="21"/>
        </w:rPr>
        <w:t>Purpose and operating rules</w:t>
      </w:r>
    </w:p>
    <w:p>
      <w:pPr>
        <w:numPr>
          <w:ilvl w:val="0"/>
          <w:numId w:val="13"/>
        </w:numPr>
        <w:spacing w:before="0" w:after="60" w:line="240" w:lineRule="auto"/>
        <w:ind w:left="540" w:hanging="271"/>
      </w:pPr>
      <w:r>
        <w:rPr>
          <w:rFonts w:ascii="Segoe UI" w:hAnsi="Segoe UI"/>
          <w:color w:val="19322B"/>
          <w:sz w:val="21"/>
        </w:rPr>
        <w:t>System overview</w:t>
      </w:r>
    </w:p>
    <w:p>
      <w:pPr>
        <w:numPr>
          <w:ilvl w:val="0"/>
          <w:numId w:val="13"/>
        </w:numPr>
        <w:spacing w:before="0" w:after="60" w:line="240" w:lineRule="auto"/>
        <w:ind w:left="540" w:hanging="271"/>
      </w:pPr>
      <w:r>
        <w:rPr>
          <w:rFonts w:ascii="Segoe UI" w:hAnsi="Segoe UI"/>
          <w:color w:val="19322B"/>
          <w:sz w:val="21"/>
        </w:rPr>
        <w:t>Important locations</w:t>
      </w:r>
    </w:p>
    <w:p>
      <w:pPr>
        <w:numPr>
          <w:ilvl w:val="0"/>
          <w:numId w:val="13"/>
        </w:numPr>
        <w:spacing w:before="0" w:after="60" w:line="240" w:lineRule="auto"/>
        <w:ind w:left="540" w:hanging="271"/>
      </w:pPr>
      <w:r>
        <w:rPr>
          <w:rFonts w:ascii="Segoe UI" w:hAnsi="Segoe UI"/>
          <w:color w:val="19322B"/>
          <w:sz w:val="21"/>
        </w:rPr>
        <w:t>Public route inventory</w:t>
      </w:r>
    </w:p>
    <w:p>
      <w:pPr>
        <w:numPr>
          <w:ilvl w:val="0"/>
          <w:numId w:val="13"/>
        </w:numPr>
        <w:spacing w:before="0" w:after="60" w:line="240" w:lineRule="auto"/>
        <w:ind w:left="540" w:hanging="271"/>
      </w:pPr>
      <w:r>
        <w:rPr>
          <w:rFonts w:ascii="Segoe UI" w:hAnsi="Segoe UI"/>
          <w:color w:val="19322B"/>
          <w:sz w:val="21"/>
        </w:rPr>
        <w:t>Shared frontend architecture</w:t>
      </w:r>
    </w:p>
    <w:p>
      <w:pPr>
        <w:numPr>
          <w:ilvl w:val="0"/>
          <w:numId w:val="13"/>
        </w:numPr>
        <w:spacing w:before="0" w:after="60" w:line="240" w:lineRule="auto"/>
        <w:ind w:left="540" w:hanging="271"/>
      </w:pPr>
      <w:r>
        <w:rPr>
          <w:rFonts w:ascii="Segoe UI" w:hAnsi="Segoe UI"/>
          <w:color w:val="19322B"/>
          <w:sz w:val="21"/>
        </w:rPr>
        <w:t>Content and data files</w:t>
      </w:r>
    </w:p>
    <w:p>
      <w:pPr>
        <w:numPr>
          <w:ilvl w:val="0"/>
          <w:numId w:val="13"/>
        </w:numPr>
        <w:spacing w:before="0" w:after="60" w:line="240" w:lineRule="auto"/>
        <w:ind w:left="540" w:hanging="271"/>
      </w:pPr>
      <w:r>
        <w:rPr>
          <w:rFonts w:ascii="Segoe UI" w:hAnsi="Segoe UI"/>
          <w:color w:val="19322B"/>
          <w:sz w:val="21"/>
        </w:rPr>
        <w:t>Interest form and response portal</w:t>
      </w:r>
    </w:p>
    <w:p>
      <w:pPr>
        <w:numPr>
          <w:ilvl w:val="0"/>
          <w:numId w:val="13"/>
        </w:numPr>
        <w:spacing w:before="0" w:after="60" w:line="240" w:lineRule="auto"/>
        <w:ind w:left="540" w:hanging="271"/>
      </w:pPr>
      <w:r>
        <w:rPr>
          <w:rFonts w:ascii="Segoe UI" w:hAnsi="Segoe UI"/>
          <w:color w:val="19322B"/>
          <w:sz w:val="21"/>
        </w:rPr>
        <w:t>Giving and PayPal</w:t>
      </w:r>
    </w:p>
    <w:p>
      <w:pPr>
        <w:numPr>
          <w:ilvl w:val="0"/>
          <w:numId w:val="13"/>
        </w:numPr>
        <w:spacing w:before="0" w:after="60" w:line="240" w:lineRule="auto"/>
        <w:ind w:left="540" w:hanging="271"/>
      </w:pPr>
      <w:r>
        <w:rPr>
          <w:rFonts w:ascii="Segoe UI" w:hAnsi="Segoe UI"/>
          <w:color w:val="19322B"/>
          <w:sz w:val="21"/>
        </w:rPr>
        <w:t>Scheduling</w:t>
      </w:r>
    </w:p>
    <w:p>
      <w:pPr>
        <w:numPr>
          <w:ilvl w:val="0"/>
          <w:numId w:val="13"/>
        </w:numPr>
        <w:spacing w:before="0" w:after="60" w:line="240" w:lineRule="auto"/>
        <w:ind w:left="540" w:hanging="271"/>
      </w:pPr>
      <w:r>
        <w:rPr>
          <w:rFonts w:ascii="Segoe UI" w:hAnsi="Segoe UI"/>
          <w:color w:val="19322B"/>
          <w:sz w:val="21"/>
        </w:rPr>
        <w:t>Local development</w:t>
      </w:r>
    </w:p>
    <w:p>
      <w:pPr>
        <w:numPr>
          <w:ilvl w:val="0"/>
          <w:numId w:val="13"/>
        </w:numPr>
        <w:spacing w:before="0" w:after="60" w:line="240" w:lineRule="auto"/>
        <w:ind w:left="540" w:hanging="271"/>
      </w:pPr>
      <w:r>
        <w:rPr>
          <w:rFonts w:ascii="Segoe UI" w:hAnsi="Segoe UI"/>
          <w:color w:val="19322B"/>
          <w:sz w:val="21"/>
        </w:rPr>
        <w:t>Validation standards</w:t>
      </w:r>
    </w:p>
    <w:p>
      <w:pPr>
        <w:numPr>
          <w:ilvl w:val="0"/>
          <w:numId w:val="13"/>
        </w:numPr>
        <w:spacing w:before="0" w:after="60" w:line="240" w:lineRule="auto"/>
        <w:ind w:left="540" w:hanging="271"/>
      </w:pPr>
      <w:r>
        <w:rPr>
          <w:rFonts w:ascii="Segoe UI" w:hAnsi="Segoe UI"/>
          <w:color w:val="19322B"/>
          <w:sz w:val="21"/>
        </w:rPr>
        <w:t>Common change workflows</w:t>
      </w:r>
    </w:p>
    <w:p>
      <w:pPr>
        <w:numPr>
          <w:ilvl w:val="0"/>
          <w:numId w:val="13"/>
        </w:numPr>
        <w:spacing w:before="0" w:after="60" w:line="240" w:lineRule="auto"/>
        <w:ind w:left="540" w:hanging="271"/>
      </w:pPr>
      <w:r>
        <w:rPr>
          <w:rFonts w:ascii="Segoe UI" w:hAnsi="Segoe UI"/>
          <w:color w:val="19322B"/>
          <w:sz w:val="21"/>
        </w:rPr>
        <w:t>Security and privacy rules</w:t>
      </w:r>
    </w:p>
    <w:p>
      <w:pPr>
        <w:numPr>
          <w:ilvl w:val="0"/>
          <w:numId w:val="13"/>
        </w:numPr>
        <w:spacing w:before="0" w:after="60" w:line="240" w:lineRule="auto"/>
        <w:ind w:left="540" w:hanging="271"/>
      </w:pPr>
      <w:r>
        <w:rPr>
          <w:rFonts w:ascii="Segoe UI" w:hAnsi="Segoe UI"/>
          <w:color w:val="19322B"/>
          <w:sz w:val="21"/>
        </w:rPr>
        <w:t>Deployment boundaries</w:t>
      </w:r>
    </w:p>
    <w:p>
      <w:pPr>
        <w:numPr>
          <w:ilvl w:val="0"/>
          <w:numId w:val="13"/>
        </w:numPr>
        <w:spacing w:before="0" w:after="60" w:line="240" w:lineRule="auto"/>
        <w:ind w:left="540" w:hanging="271"/>
      </w:pPr>
      <w:r>
        <w:rPr>
          <w:rFonts w:ascii="Segoe UI" w:hAnsi="Segoe UI"/>
          <w:color w:val="19322B"/>
          <w:sz w:val="21"/>
        </w:rPr>
        <w:t>Documentation maintenance</w:t>
      </w:r>
    </w:p>
    <w:p>
      <w:pPr>
        <w:numPr>
          <w:ilvl w:val="0"/>
          <w:numId w:val="13"/>
        </w:numPr>
        <w:spacing w:before="0" w:after="60" w:line="240" w:lineRule="auto"/>
        <w:ind w:left="540" w:hanging="271"/>
      </w:pPr>
      <w:r>
        <w:rPr>
          <w:rFonts w:ascii="Segoe UI" w:hAnsi="Segoe UI"/>
          <w:color w:val="19322B"/>
          <w:sz w:val="21"/>
        </w:rPr>
        <w:t>Handoff checklist</w:t>
      </w:r>
    </w:p>
    <w:p>
      <w:pPr>
        <w:numPr>
          <w:ilvl w:val="0"/>
          <w:numId w:val="13"/>
        </w:numPr>
        <w:spacing w:before="0" w:after="60" w:line="240" w:lineRule="auto"/>
        <w:ind w:left="540" w:hanging="271"/>
      </w:pPr>
      <w:r>
        <w:rPr>
          <w:rFonts w:ascii="Segoe UI" w:hAnsi="Segoe UI"/>
          <w:color w:val="19322B"/>
          <w:sz w:val="21"/>
        </w:rPr>
        <w:t>Ministry Management workspace</w:t>
      </w:r>
    </w:p>
    <w:p>
      <w:pPr>
        <w:numPr>
          <w:ilvl w:val="0"/>
          <w:numId w:val="13"/>
        </w:numPr>
        <w:spacing w:before="0" w:after="60" w:line="240" w:lineRule="auto"/>
        <w:ind w:left="540" w:hanging="271"/>
      </w:pPr>
      <w:r>
        <w:rPr>
          <w:rFonts w:ascii="Segoe UI" w:hAnsi="Segoe UI"/>
          <w:color w:val="19322B"/>
          <w:sz w:val="21"/>
        </w:rPr>
        <w:t>Expanded bookkeeping workspace</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follow up editing</w:t>
      </w:r>
    </w:p>
    <w:p>
      <w:r>
        <w:rPr>
          <w:rFonts w:ascii="Segoe UI" w:hAnsi="Segoe UI"/>
          <w:color w:val="19322B"/>
          <w:sz w:val="22"/>
        </w:rPr>
        <w:t>Contact follow-up fields are editable directly in People cards and Spreadsheet rows. Row saves submit only personIds, lastContactedAt, and lastContactedNote to the existing authenticated /contacts/bulk-activity endpoint. Selected-row updates reuse its 100-contact batch limit and 50-character note limit. Confirm replacement of both fields before bulk saving; blank notes clear the previous note. Row saves retain other unsaved rows. Bulk refresh discards pending row edits with an explicit warning. General activity remains separate from actual contact dates. No migration or new API is required.</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