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4.5.3</w:t>
      </w:r>
      <w:r>
        <w:rPr>
          <w:rFonts w:ascii="Segoe UI" w:hAnsi="Segoe UI"/>
          <w:color w:val="D99B42"/>
          <w:sz w:val="20"/>
        </w:rPr>
        <w:t xml:space="preserve">  •  </w:t>
      </w:r>
      <w:r>
        <w:rPr>
          <w:rFonts w:ascii="Segoe UI" w:hAnsi="Segoe UI"/>
          <w:color w:val="60726B"/>
          <w:sz w:val="20"/>
        </w:rPr>
        <w:t>Last reviewed September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60" w:line="240" w:lineRule="auto"/>
        <w:ind w:left="540" w:hanging="271"/>
      </w:pPr>
      <w:r>
        <w:rPr>
          <w:rFonts w:ascii="Segoe UI" w:hAnsi="Segoe UI"/>
          <w:color w:val="19322B"/>
          <w:sz w:val="21"/>
        </w:rPr>
        <w:t>Inbox completion and trash</w:t>
      </w:r>
    </w:p>
    <w:p>
      <w:pPr>
        <w:numPr>
          <w:ilvl w:val="0"/>
          <w:numId w:val="13"/>
        </w:numPr>
        <w:spacing w:before="0" w:after="60" w:line="240" w:lineRule="auto"/>
        <w:ind w:left="540" w:hanging="271"/>
      </w:pPr>
      <w:r>
        <w:rPr>
          <w:rFonts w:ascii="Segoe UI" w:hAnsi="Segoe UI"/>
          <w:color w:val="19322B"/>
          <w:sz w:val="21"/>
        </w:rPr>
        <w:t>Contact follow up editing</w:t>
      </w:r>
    </w:p>
    <w:p>
      <w:pPr>
        <w:numPr>
          <w:ilvl w:val="0"/>
          <w:numId w:val="13"/>
        </w:numPr>
        <w:spacing w:before="0" w:after="60" w:line="240" w:lineRule="auto"/>
        <w:ind w:left="540" w:hanging="271"/>
      </w:pPr>
      <w:r>
        <w:rPr>
          <w:rFonts w:ascii="Segoe UI" w:hAnsi="Segoe UI"/>
          <w:color w:val="19322B"/>
          <w:sz w:val="21"/>
        </w:rPr>
        <w:t>Trip budget comparison and bulk editing</w:t>
      </w:r>
    </w:p>
    <w:p>
      <w:pPr>
        <w:numPr>
          <w:ilvl w:val="0"/>
          <w:numId w:val="13"/>
        </w:numPr>
        <w:spacing w:before="0" w:after="60" w:line="240" w:lineRule="auto"/>
        <w:ind w:left="540" w:hanging="271"/>
      </w:pPr>
      <w:r>
        <w:rPr>
          <w:rFonts w:ascii="Segoe UI" w:hAnsi="Segoe UI"/>
          <w:color w:val="19322B"/>
          <w:sz w:val="21"/>
        </w:rPr>
        <w:t>Shared portal account management</w:t>
      </w:r>
    </w:p>
    <w:p>
      <w:pPr>
        <w:numPr>
          <w:ilvl w:val="0"/>
          <w:numId w:val="13"/>
        </w:numPr>
        <w:spacing w:before="0" w:after="60" w:line="240" w:lineRule="auto"/>
        <w:ind w:left="540" w:hanging="271"/>
      </w:pPr>
      <w:r>
        <w:rPr>
          <w:rFonts w:ascii="Segoe UI" w:hAnsi="Segoe UI"/>
          <w:color w:val="19322B"/>
          <w:sz w:val="21"/>
        </w:rPr>
        <w:t>Donation split editor</w:t>
      </w:r>
    </w:p>
    <w:p>
      <w:pPr>
        <w:numPr>
          <w:ilvl w:val="0"/>
          <w:numId w:val="13"/>
        </w:numPr>
        <w:spacing w:before="0" w:after="60" w:line="240" w:lineRule="auto"/>
        <w:ind w:left="540" w:hanging="271"/>
      </w:pPr>
      <w:r>
        <w:rPr>
          <w:rFonts w:ascii="Segoe UI" w:hAnsi="Segoe UI"/>
          <w:color w:val="19322B"/>
          <w:sz w:val="21"/>
        </w:rPr>
        <w:t>MMT account and access screens</w:t>
      </w:r>
    </w:p>
    <w:p>
      <w:pPr>
        <w:numPr>
          <w:ilvl w:val="0"/>
          <w:numId w:val="13"/>
        </w:numPr>
        <w:spacing w:before="0" w:after="60" w:line="240" w:lineRule="auto"/>
        <w:ind w:left="540" w:hanging="271"/>
      </w:pPr>
      <w:r>
        <w:rPr>
          <w:rFonts w:ascii="Segoe UI" w:hAnsi="Segoe UI"/>
          <w:color w:val="19322B"/>
          <w:sz w:val="21"/>
        </w:rPr>
        <w:t>Destination management patterns</w:t>
      </w:r>
    </w:p>
    <w:p>
      <w:pPr>
        <w:numPr>
          <w:ilvl w:val="0"/>
          <w:numId w:val="13"/>
        </w:numPr>
        <w:spacing w:before="0" w:after="60" w:line="240" w:lineRule="auto"/>
        <w:ind w:left="540" w:hanging="271"/>
      </w:pPr>
      <w:r>
        <w:rPr>
          <w:rFonts w:ascii="Segoe UI" w:hAnsi="Segoe UI"/>
          <w:color w:val="19322B"/>
          <w:sz w:val="21"/>
        </w:rPr>
        <w:t>Purpose</w:t>
      </w:r>
    </w:p>
    <w:p>
      <w:pPr>
        <w:numPr>
          <w:ilvl w:val="0"/>
          <w:numId w:val="13"/>
        </w:numPr>
        <w:spacing w:before="0" w:after="60" w:line="240" w:lineRule="auto"/>
        <w:ind w:left="540" w:hanging="271"/>
      </w:pPr>
      <w:r>
        <w:rPr>
          <w:rFonts w:ascii="Segoe UI" w:hAnsi="Segoe UI"/>
          <w:color w:val="19322B"/>
          <w:sz w:val="21"/>
        </w:rPr>
        <w:t>Canonical design sources</w:t>
      </w:r>
    </w:p>
    <w:p>
      <w:pPr>
        <w:numPr>
          <w:ilvl w:val="0"/>
          <w:numId w:val="13"/>
        </w:numPr>
        <w:spacing w:before="0" w:after="60" w:line="240" w:lineRule="auto"/>
        <w:ind w:left="540" w:hanging="271"/>
      </w:pPr>
      <w:r>
        <w:rPr>
          <w:rFonts w:ascii="Segoe UI" w:hAnsi="Segoe UI"/>
          <w:color w:val="19322B"/>
          <w:sz w:val="21"/>
        </w:rPr>
        <w:t>Brand foundation</w:t>
      </w:r>
    </w:p>
    <w:p>
      <w:pPr>
        <w:numPr>
          <w:ilvl w:val="0"/>
          <w:numId w:val="13"/>
        </w:numPr>
        <w:spacing w:before="0" w:after="60" w:line="240" w:lineRule="auto"/>
        <w:ind w:left="540" w:hanging="271"/>
      </w:pPr>
      <w:r>
        <w:rPr>
          <w:rFonts w:ascii="Segoe UI" w:hAnsi="Segoe UI"/>
          <w:color w:val="19322B"/>
          <w:sz w:val="21"/>
        </w:rPr>
        <w:t>Logo system</w:t>
      </w:r>
    </w:p>
    <w:p>
      <w:pPr>
        <w:numPr>
          <w:ilvl w:val="0"/>
          <w:numId w:val="13"/>
        </w:numPr>
        <w:spacing w:before="0" w:after="60" w:line="240" w:lineRule="auto"/>
        <w:ind w:left="540" w:hanging="271"/>
      </w:pPr>
      <w:r>
        <w:rPr>
          <w:rFonts w:ascii="Segoe UI" w:hAnsi="Segoe UI"/>
          <w:color w:val="19322B"/>
          <w:sz w:val="21"/>
        </w:rPr>
        <w:t>Color system</w:t>
      </w:r>
    </w:p>
    <w:p>
      <w:pPr>
        <w:numPr>
          <w:ilvl w:val="0"/>
          <w:numId w:val="13"/>
        </w:numPr>
        <w:spacing w:before="0" w:after="60" w:line="240" w:lineRule="auto"/>
        <w:ind w:left="540" w:hanging="271"/>
      </w:pPr>
      <w:r>
        <w:rPr>
          <w:rFonts w:ascii="Segoe UI" w:hAnsi="Segoe UI"/>
          <w:color w:val="19322B"/>
          <w:sz w:val="21"/>
        </w:rPr>
        <w:t>Typography</w:t>
      </w:r>
    </w:p>
    <w:p>
      <w:pPr>
        <w:numPr>
          <w:ilvl w:val="0"/>
          <w:numId w:val="13"/>
        </w:numPr>
        <w:spacing w:before="0" w:after="60" w:line="240" w:lineRule="auto"/>
        <w:ind w:left="540" w:hanging="271"/>
      </w:pPr>
      <w:r>
        <w:rPr>
          <w:rFonts w:ascii="Segoe UI" w:hAnsi="Segoe UI"/>
          <w:color w:val="19322B"/>
          <w:sz w:val="21"/>
        </w:rPr>
        <w:t>Layout and spacing</w:t>
      </w:r>
    </w:p>
    <w:p>
      <w:pPr>
        <w:numPr>
          <w:ilvl w:val="0"/>
          <w:numId w:val="13"/>
        </w:numPr>
        <w:spacing w:before="0" w:after="60" w:line="240" w:lineRule="auto"/>
        <w:ind w:left="540" w:hanging="271"/>
      </w:pPr>
      <w:r>
        <w:rPr>
          <w:rFonts w:ascii="Segoe UI" w:hAnsi="Segoe UI"/>
          <w:color w:val="19322B"/>
          <w:sz w:val="21"/>
        </w:rPr>
        <w:t>Core components</w:t>
      </w:r>
    </w:p>
    <w:p>
      <w:pPr>
        <w:numPr>
          <w:ilvl w:val="0"/>
          <w:numId w:val="13"/>
        </w:numPr>
        <w:spacing w:before="0" w:after="60" w:line="240" w:lineRule="auto"/>
        <w:ind w:left="540" w:hanging="271"/>
      </w:pPr>
      <w:r>
        <w:rPr>
          <w:rFonts w:ascii="Segoe UI" w:hAnsi="Segoe UI"/>
          <w:color w:val="19322B"/>
          <w:sz w:val="21"/>
        </w:rPr>
        <w:t>Photography and media</w:t>
      </w:r>
    </w:p>
    <w:p>
      <w:pPr>
        <w:numPr>
          <w:ilvl w:val="0"/>
          <w:numId w:val="13"/>
        </w:numPr>
        <w:spacing w:before="0" w:after="60" w:line="240" w:lineRule="auto"/>
        <w:ind w:left="540" w:hanging="271"/>
      </w:pPr>
      <w:r>
        <w:rPr>
          <w:rFonts w:ascii="Segoe UI" w:hAnsi="Segoe UI"/>
          <w:color w:val="19322B"/>
          <w:sz w:val="21"/>
        </w:rPr>
        <w:t>Voice and content standards</w:t>
      </w:r>
    </w:p>
    <w:p>
      <w:pPr>
        <w:numPr>
          <w:ilvl w:val="0"/>
          <w:numId w:val="13"/>
        </w:numPr>
        <w:spacing w:before="0" w:after="60" w:line="240" w:lineRule="auto"/>
        <w:ind w:left="540" w:hanging="271"/>
      </w:pPr>
      <w:r>
        <w:rPr>
          <w:rFonts w:ascii="Segoe UI" w:hAnsi="Segoe UI"/>
          <w:color w:val="19322B"/>
          <w:sz w:val="21"/>
        </w:rPr>
        <w:t>Accessibility standards</w:t>
      </w:r>
    </w:p>
    <w:p>
      <w:pPr>
        <w:numPr>
          <w:ilvl w:val="0"/>
          <w:numId w:val="13"/>
        </w:numPr>
        <w:spacing w:before="0" w:after="60" w:line="240" w:lineRule="auto"/>
        <w:ind w:left="540" w:hanging="271"/>
      </w:pPr>
      <w:r>
        <w:rPr>
          <w:rFonts w:ascii="Segoe UI" w:hAnsi="Segoe UI"/>
          <w:color w:val="19322B"/>
          <w:sz w:val="21"/>
        </w:rPr>
        <w:t>Motion standards</w:t>
      </w:r>
    </w:p>
    <w:p>
      <w:pPr>
        <w:numPr>
          <w:ilvl w:val="0"/>
          <w:numId w:val="13"/>
        </w:numPr>
        <w:spacing w:before="0" w:after="60" w:line="240" w:lineRule="auto"/>
        <w:ind w:left="540" w:hanging="271"/>
      </w:pPr>
      <w:r>
        <w:rPr>
          <w:rFonts w:ascii="Segoe UI" w:hAnsi="Segoe UI"/>
          <w:color w:val="19322B"/>
          <w:sz w:val="21"/>
        </w:rPr>
        <w:t>New page checklist</w:t>
      </w:r>
    </w:p>
    <w:p>
      <w:pPr>
        <w:numPr>
          <w:ilvl w:val="0"/>
          <w:numId w:val="13"/>
        </w:numPr>
        <w:spacing w:before="0" w:after="60" w:line="240" w:lineRule="auto"/>
        <w:ind w:left="540" w:hanging="271"/>
      </w:pPr>
      <w:r>
        <w:rPr>
          <w:rFonts w:ascii="Segoe UI" w:hAnsi="Segoe UI"/>
          <w:color w:val="19322B"/>
          <w:sz w:val="21"/>
        </w:rPr>
        <w:t>Governance</w:t>
      </w:r>
    </w:p>
    <w:p>
      <w:pPr>
        <w:numPr>
          <w:ilvl w:val="0"/>
          <w:numId w:val="13"/>
        </w:numPr>
        <w:spacing w:before="0" w:after="60" w:line="240" w:lineRule="auto"/>
        <w:ind w:left="540" w:hanging="271"/>
      </w:pPr>
      <w:r>
        <w:rPr>
          <w:rFonts w:ascii="Segoe UI" w:hAnsi="Segoe UI"/>
          <w:color w:val="19322B"/>
          <w:sz w:val="21"/>
        </w:rPr>
        <w:t>Ministry Management interface</w:t>
      </w:r>
    </w:p>
    <w:p>
      <w:pPr>
        <w:numPr>
          <w:ilvl w:val="0"/>
          <w:numId w:val="13"/>
        </w:numPr>
        <w:spacing w:before="0" w:after="60" w:line="240" w:lineRule="auto"/>
        <w:ind w:left="540" w:hanging="271"/>
      </w:pPr>
      <w:r>
        <w:rPr>
          <w:rFonts w:ascii="Segoe UI" w:hAnsi="Segoe UI"/>
          <w:color w:val="19322B"/>
          <w:sz w:val="21"/>
        </w:rPr>
        <w:t>Expanded bookkeeping screens</w:t>
      </w:r>
    </w:p>
    <w:p>
      <w:pPr>
        <w:numPr>
          <w:ilvl w:val="0"/>
          <w:numId w:val="13"/>
        </w:numPr>
        <w:spacing w:before="0" w:after="60" w:line="240" w:lineRule="auto"/>
        <w:ind w:left="540" w:hanging="271"/>
      </w:pPr>
      <w:r>
        <w:rPr>
          <w:rFonts w:ascii="Segoe UI" w:hAnsi="Segoe UI"/>
          <w:color w:val="19322B"/>
          <w:sz w:val="21"/>
        </w:rPr>
        <w:t>User deletion</w:t>
      </w:r>
    </w:p>
    <w:p>
      <w:pPr>
        <w:numPr>
          <w:ilvl w:val="0"/>
          <w:numId w:val="13"/>
        </w:numPr>
        <w:spacing w:before="0" w:after="6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follow up editing</w:t>
      </w:r>
    </w:p>
    <w:p>
      <w:r>
        <w:rPr>
          <w:rFonts w:ascii="Segoe UI" w:hAnsi="Segoe UI"/>
          <w:color w:val="19322B"/>
          <w:sz w:val="22"/>
        </w:rPr>
        <w:t>Show Last Contacted and Last Contacted Notes as labeled inputs in People cards and Spreadsheet rows, with a Save contact update button and local save feedback. Contact checkboxes support a shared date-and-note update above the list. Confirm replacement before bulk saving and disclose that blank notes clear prior notes. Preserve the separate Latest activity display, and use explicit labels and the existing 50-character note limit.</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