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4.59</w:t>
      </w:r>
      <w:r>
        <w:rPr>
          <w:rFonts w:ascii="Segoe UI" w:hAnsi="Segoe UI"/>
          <w:color w:val="D99B42"/>
          <w:sz w:val="20"/>
        </w:rPr>
        <w:t xml:space="preserve">  •  </w:t>
      </w:r>
      <w:r>
        <w:rPr>
          <w:rFonts w:ascii="Segoe UI" w:hAnsi="Segoe UI"/>
          <w:color w:val="60726B"/>
          <w:sz w:val="20"/>
        </w:rPr>
        <w:t>Last reviewed October 16,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p>
            <w:pPr>
              <w:numPr>
                <w:ilvl w:val="0"/>
                <w:numId w:val="13"/>
              </w:numPr>
              <w:spacing w:before="0" w:after="0" w:line="240" w:lineRule="auto"/>
              <w:ind w:left="540" w:hanging="271"/>
            </w:pPr>
            <w:r>
              <w:rPr>
                <w:rFonts w:ascii="Segoe UI" w:hAnsi="Segoe UI"/>
                <w:color w:val="19322B"/>
                <w:sz w:val="20"/>
              </w:rPr>
              <w:t>Individual MMT accounts and phone storage</w:t>
            </w:r>
          </w:p>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Live Knowledge &amp; FAQ workspace</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catalog refresh currently covers public dated journeys and published stories, not every external embed or static document. Static/source changes must be reviewed in this workspace; automatic full-site crawling and paid bulk transcription are follow-on work, not enabled functionality.</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