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3.2</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Lines/>
        <w:numPr>
          <w:ilvl w:val="0"/>
          <w:numId w:val="15"/>
        </w:numPr>
        <w:spacing w:before="0" w:after="80" w:line="300" w:lineRule="auto"/>
        <w:ind w:left="540" w:hanging="271"/>
      </w:pPr>
      <w:r>
        <w:rPr>
          <w:rFonts w:ascii="Consolas" w:hAnsi="Consolas"/>
          <w:color w:val="173F35"/>
          <w:sz w:val="20"/>
          <w:shd w:fill="EDF5F1"/>
        </w:rPr>
        <w:t>0014_trip_platform.sql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full checklist. </w:t>
      </w:r>
      <w:r>
        <w:rPr>
          <w:rFonts w:ascii="Consolas" w:hAnsi="Consolas"/>
          <w:color w:val="173F35"/>
          <w:sz w:val="20"/>
          <w:shd w:fill="EDF5F1"/>
        </w:rPr>
        <w:t>openNextGuideStep()</w:t>
      </w:r>
      <w:r>
        <w:rPr>
          <w:rFonts w:ascii="Segoe UI" w:hAnsi="Segoe UI"/>
          <w:color w:val="19322B"/>
          <w:sz w:val="22"/>
        </w:rPr>
        <w:t xml:space="preserve"> either opens the trip editor or activates and focuses the relevant workspace form. Required prerequisite notices remain active when guided help is disabled.</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