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2.7</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login page is always the initial portal view. Startup may check for a newer frontend build, but it must not exchange a remembered session for immediate dashboard access. Only an explicit login-form submission may call the login endpoint and show the dashboard.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name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name button's expanded value and accessible label, and state.expandedPersonId. The full-record dialog is still opened only by openPerson() from the separate </w:t>
      </w:r>
      <w:r>
        <w:rPr>
          <w:rFonts w:ascii="Segoe UI" w:hAnsi="Segoe UI"/>
          <w:b/>
          <w:color w:val="19322B"/>
          <w:sz w:val="22"/>
        </w:rPr>
        <w:t>View everything</w:t>
      </w:r>
      <w:r>
        <w:rPr>
          <w:rFonts w:ascii="Segoe UI" w:hAnsi="Segoe UI"/>
          <w:color w:val="19322B"/>
          <w:sz w:val="22"/>
        </w:rPr>
        <w:t xml:space="preserve"> action.</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