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2.4</w:t>
      </w:r>
      <w:r>
        <w:rPr>
          <w:rFonts w:ascii="Segoe UI" w:hAnsi="Segoe UI"/>
          <w:color w:val="D99B42"/>
          <w:sz w:val="20"/>
        </w:rPr>
        <w:t xml:space="preserve">  •  </w:t>
      </w:r>
      <w:r>
        <w:rPr>
          <w:rFonts w:ascii="Segoe UI" w:hAnsi="Segoe UI"/>
          <w:color w:val="60726B"/>
          <w:sz w:val="20"/>
        </w:rPr>
        <w:t>Last reviewed September 1,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Purpose</w:t>
      </w:r>
    </w:p>
    <w:p>
      <w:pPr>
        <w:numPr>
          <w:ilvl w:val="0"/>
          <w:numId w:val="13"/>
        </w:numPr>
        <w:spacing w:before="0" w:after="80" w:line="300" w:lineRule="auto"/>
        <w:ind w:left="540" w:hanging="271"/>
      </w:pPr>
      <w:r>
        <w:rPr>
          <w:rFonts w:ascii="Segoe UI" w:hAnsi="Segoe UI"/>
          <w:color w:val="19322B"/>
          <w:sz w:val="21"/>
        </w:rPr>
        <w:t>Canonical design sources</w:t>
      </w:r>
    </w:p>
    <w:p>
      <w:pPr>
        <w:numPr>
          <w:ilvl w:val="0"/>
          <w:numId w:val="13"/>
        </w:numPr>
        <w:spacing w:before="0" w:after="80" w:line="300" w:lineRule="auto"/>
        <w:ind w:left="540" w:hanging="271"/>
      </w:pPr>
      <w:r>
        <w:rPr>
          <w:rFonts w:ascii="Segoe UI" w:hAnsi="Segoe UI"/>
          <w:color w:val="19322B"/>
          <w:sz w:val="21"/>
        </w:rPr>
        <w:t>Brand foundation</w:t>
      </w:r>
    </w:p>
    <w:p>
      <w:pPr>
        <w:numPr>
          <w:ilvl w:val="0"/>
          <w:numId w:val="13"/>
        </w:numPr>
        <w:spacing w:before="0" w:after="80" w:line="300" w:lineRule="auto"/>
        <w:ind w:left="540" w:hanging="271"/>
      </w:pPr>
      <w:r>
        <w:rPr>
          <w:rFonts w:ascii="Segoe UI" w:hAnsi="Segoe UI"/>
          <w:color w:val="19322B"/>
          <w:sz w:val="21"/>
        </w:rPr>
        <w:t>Logo system</w:t>
      </w:r>
    </w:p>
    <w:p>
      <w:pPr>
        <w:numPr>
          <w:ilvl w:val="0"/>
          <w:numId w:val="13"/>
        </w:numPr>
        <w:spacing w:before="0" w:after="80" w:line="300" w:lineRule="auto"/>
        <w:ind w:left="540" w:hanging="271"/>
      </w:pPr>
      <w:r>
        <w:rPr>
          <w:rFonts w:ascii="Segoe UI" w:hAnsi="Segoe UI"/>
          <w:color w:val="19322B"/>
          <w:sz w:val="21"/>
        </w:rPr>
        <w:t>Color system</w:t>
      </w:r>
    </w:p>
    <w:p>
      <w:pPr>
        <w:numPr>
          <w:ilvl w:val="0"/>
          <w:numId w:val="13"/>
        </w:numPr>
        <w:spacing w:before="0" w:after="80" w:line="300" w:lineRule="auto"/>
        <w:ind w:left="540" w:hanging="271"/>
      </w:pPr>
      <w:r>
        <w:rPr>
          <w:rFonts w:ascii="Segoe UI" w:hAnsi="Segoe UI"/>
          <w:color w:val="19322B"/>
          <w:sz w:val="21"/>
        </w:rPr>
        <w:t>Typography</w:t>
      </w:r>
    </w:p>
    <w:p>
      <w:pPr>
        <w:numPr>
          <w:ilvl w:val="0"/>
          <w:numId w:val="13"/>
        </w:numPr>
        <w:spacing w:before="0" w:after="80" w:line="300" w:lineRule="auto"/>
        <w:ind w:left="540" w:hanging="271"/>
      </w:pPr>
      <w:r>
        <w:rPr>
          <w:rFonts w:ascii="Segoe UI" w:hAnsi="Segoe UI"/>
          <w:color w:val="19322B"/>
          <w:sz w:val="21"/>
        </w:rPr>
        <w:t>Layout and spacing</w:t>
      </w:r>
    </w:p>
    <w:p>
      <w:pPr>
        <w:numPr>
          <w:ilvl w:val="0"/>
          <w:numId w:val="13"/>
        </w:numPr>
        <w:spacing w:before="0" w:after="80" w:line="300" w:lineRule="auto"/>
        <w:ind w:left="540" w:hanging="271"/>
      </w:pPr>
      <w:r>
        <w:rPr>
          <w:rFonts w:ascii="Segoe UI" w:hAnsi="Segoe UI"/>
          <w:color w:val="19322B"/>
          <w:sz w:val="21"/>
        </w:rPr>
        <w:t>Core components</w:t>
      </w:r>
    </w:p>
    <w:p>
      <w:pPr>
        <w:numPr>
          <w:ilvl w:val="0"/>
          <w:numId w:val="13"/>
        </w:numPr>
        <w:spacing w:before="0" w:after="80" w:line="300" w:lineRule="auto"/>
        <w:ind w:left="540" w:hanging="271"/>
      </w:pPr>
      <w:r>
        <w:rPr>
          <w:rFonts w:ascii="Segoe UI" w:hAnsi="Segoe UI"/>
          <w:color w:val="19322B"/>
          <w:sz w:val="21"/>
        </w:rPr>
        <w:t>Photography and media</w:t>
      </w:r>
    </w:p>
    <w:p>
      <w:pPr>
        <w:numPr>
          <w:ilvl w:val="0"/>
          <w:numId w:val="13"/>
        </w:numPr>
        <w:spacing w:before="0" w:after="80" w:line="300" w:lineRule="auto"/>
        <w:ind w:left="540" w:hanging="271"/>
      </w:pPr>
      <w:r>
        <w:rPr>
          <w:rFonts w:ascii="Segoe UI" w:hAnsi="Segoe UI"/>
          <w:color w:val="19322B"/>
          <w:sz w:val="21"/>
        </w:rPr>
        <w:t>Voice and content standards</w:t>
      </w:r>
    </w:p>
    <w:p>
      <w:pPr>
        <w:numPr>
          <w:ilvl w:val="0"/>
          <w:numId w:val="13"/>
        </w:numPr>
        <w:spacing w:before="0" w:after="80" w:line="300" w:lineRule="auto"/>
        <w:ind w:left="540" w:hanging="271"/>
      </w:pPr>
      <w:r>
        <w:rPr>
          <w:rFonts w:ascii="Segoe UI" w:hAnsi="Segoe UI"/>
          <w:color w:val="19322B"/>
          <w:sz w:val="21"/>
        </w:rPr>
        <w:t>Accessibility standards</w:t>
      </w:r>
    </w:p>
    <w:p>
      <w:pPr>
        <w:numPr>
          <w:ilvl w:val="0"/>
          <w:numId w:val="13"/>
        </w:numPr>
        <w:spacing w:before="0" w:after="80" w:line="300" w:lineRule="auto"/>
        <w:ind w:left="540" w:hanging="271"/>
      </w:pPr>
      <w:r>
        <w:rPr>
          <w:rFonts w:ascii="Segoe UI" w:hAnsi="Segoe UI"/>
          <w:color w:val="19322B"/>
          <w:sz w:val="21"/>
        </w:rPr>
        <w:t>Motion standards</w:t>
      </w:r>
    </w:p>
    <w:p>
      <w:pPr>
        <w:numPr>
          <w:ilvl w:val="0"/>
          <w:numId w:val="13"/>
        </w:numPr>
        <w:spacing w:before="0" w:after="80" w:line="300" w:lineRule="auto"/>
        <w:ind w:left="540" w:hanging="271"/>
      </w:pPr>
      <w:r>
        <w:rPr>
          <w:rFonts w:ascii="Segoe UI" w:hAnsi="Segoe UI"/>
          <w:color w:val="19322B"/>
          <w:sz w:val="21"/>
        </w:rPr>
        <w:t>New page checklist</w:t>
      </w:r>
    </w:p>
    <w:p>
      <w:pPr>
        <w:numPr>
          <w:ilvl w:val="0"/>
          <w:numId w:val="13"/>
        </w:numPr>
        <w:spacing w:before="0" w:after="80" w:line="300" w:lineRule="auto"/>
        <w:ind w:left="540" w:hanging="271"/>
      </w:pPr>
      <w:r>
        <w:rPr>
          <w:rFonts w:ascii="Segoe UI" w:hAnsi="Segoe UI"/>
          <w:color w:val="19322B"/>
          <w:sz w:val="21"/>
        </w:rPr>
        <w:t>Governance</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Make the contact name the explicit expand/collapse control, pair it with a visible plus/minus indicator, and update its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Next/>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longer cinematic motion is limited to the optional first-visit invitation.</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