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4.4.1</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MMT account and access screens</w:t>
      </w:r>
    </w:p>
    <w:p>
      <w:pPr>
        <w:numPr>
          <w:ilvl w:val="0"/>
          <w:numId w:val="13"/>
        </w:numPr>
        <w:spacing w:before="0" w:after="80" w:line="300" w:lineRule="auto"/>
        <w:ind w:left="540" w:hanging="271"/>
      </w:pPr>
      <w:r>
        <w:rPr>
          <w:rFonts w:ascii="Segoe UI" w:hAnsi="Segoe UI"/>
          <w:color w:val="19322B"/>
          <w:sz w:val="21"/>
        </w:rPr>
        <w:t>Destination management patterns</w:t>
      </w:r>
    </w:p>
    <w:p>
      <w:pPr>
        <w:numPr>
          <w:ilvl w:val="0"/>
          <w:numId w:val="13"/>
        </w:numPr>
        <w:spacing w:before="0" w:after="80" w:line="300" w:lineRule="auto"/>
        <w:ind w:left="540" w:hanging="271"/>
      </w:pPr>
      <w:r>
        <w:rPr>
          <w:rFonts w:ascii="Segoe UI" w:hAnsi="Segoe UI"/>
          <w:color w:val="19322B"/>
          <w:sz w:val="21"/>
        </w:rPr>
        <w:t>Purpose</w:t>
      </w:r>
    </w:p>
    <w:p>
      <w:pPr>
        <w:numPr>
          <w:ilvl w:val="0"/>
          <w:numId w:val="13"/>
        </w:numPr>
        <w:spacing w:before="0" w:after="80" w:line="300" w:lineRule="auto"/>
        <w:ind w:left="540" w:hanging="271"/>
      </w:pPr>
      <w:r>
        <w:rPr>
          <w:rFonts w:ascii="Segoe UI" w:hAnsi="Segoe UI"/>
          <w:color w:val="19322B"/>
          <w:sz w:val="21"/>
        </w:rPr>
        <w:t>Canonical design sources</w:t>
      </w:r>
    </w:p>
    <w:p>
      <w:pPr>
        <w:numPr>
          <w:ilvl w:val="0"/>
          <w:numId w:val="13"/>
        </w:numPr>
        <w:spacing w:before="0" w:after="80" w:line="300" w:lineRule="auto"/>
        <w:ind w:left="540" w:hanging="271"/>
      </w:pPr>
      <w:r>
        <w:rPr>
          <w:rFonts w:ascii="Segoe UI" w:hAnsi="Segoe UI"/>
          <w:color w:val="19322B"/>
          <w:sz w:val="21"/>
        </w:rPr>
        <w:t>Brand foundation</w:t>
      </w:r>
    </w:p>
    <w:p>
      <w:pPr>
        <w:numPr>
          <w:ilvl w:val="0"/>
          <w:numId w:val="13"/>
        </w:numPr>
        <w:spacing w:before="0" w:after="80" w:line="300" w:lineRule="auto"/>
        <w:ind w:left="540" w:hanging="271"/>
      </w:pPr>
      <w:r>
        <w:rPr>
          <w:rFonts w:ascii="Segoe UI" w:hAnsi="Segoe UI"/>
          <w:color w:val="19322B"/>
          <w:sz w:val="21"/>
        </w:rPr>
        <w:t>Logo system</w:t>
      </w:r>
    </w:p>
    <w:p>
      <w:pPr>
        <w:numPr>
          <w:ilvl w:val="0"/>
          <w:numId w:val="13"/>
        </w:numPr>
        <w:spacing w:before="0" w:after="80" w:line="300" w:lineRule="auto"/>
        <w:ind w:left="540" w:hanging="271"/>
      </w:pPr>
      <w:r>
        <w:rPr>
          <w:rFonts w:ascii="Segoe UI" w:hAnsi="Segoe UI"/>
          <w:color w:val="19322B"/>
          <w:sz w:val="21"/>
        </w:rPr>
        <w:t>Color system</w:t>
      </w:r>
    </w:p>
    <w:p>
      <w:pPr>
        <w:numPr>
          <w:ilvl w:val="0"/>
          <w:numId w:val="13"/>
        </w:numPr>
        <w:spacing w:before="0" w:after="80" w:line="300" w:lineRule="auto"/>
        <w:ind w:left="540" w:hanging="271"/>
      </w:pPr>
      <w:r>
        <w:rPr>
          <w:rFonts w:ascii="Segoe UI" w:hAnsi="Segoe UI"/>
          <w:color w:val="19322B"/>
          <w:sz w:val="21"/>
        </w:rPr>
        <w:t>Typography</w:t>
      </w:r>
    </w:p>
    <w:p>
      <w:pPr>
        <w:numPr>
          <w:ilvl w:val="0"/>
          <w:numId w:val="13"/>
        </w:numPr>
        <w:spacing w:before="0" w:after="80" w:line="300" w:lineRule="auto"/>
        <w:ind w:left="540" w:hanging="271"/>
      </w:pPr>
      <w:r>
        <w:rPr>
          <w:rFonts w:ascii="Segoe UI" w:hAnsi="Segoe UI"/>
          <w:color w:val="19322B"/>
          <w:sz w:val="21"/>
        </w:rPr>
        <w:t>Layout and spacing</w:t>
      </w:r>
    </w:p>
    <w:p>
      <w:pPr>
        <w:numPr>
          <w:ilvl w:val="0"/>
          <w:numId w:val="13"/>
        </w:numPr>
        <w:spacing w:before="0" w:after="80" w:line="300" w:lineRule="auto"/>
        <w:ind w:left="540" w:hanging="271"/>
      </w:pPr>
      <w:r>
        <w:rPr>
          <w:rFonts w:ascii="Segoe UI" w:hAnsi="Segoe UI"/>
          <w:color w:val="19322B"/>
          <w:sz w:val="21"/>
        </w:rPr>
        <w:t>Core components</w:t>
      </w:r>
    </w:p>
    <w:p>
      <w:pPr>
        <w:numPr>
          <w:ilvl w:val="0"/>
          <w:numId w:val="13"/>
        </w:numPr>
        <w:spacing w:before="0" w:after="80" w:line="300" w:lineRule="auto"/>
        <w:ind w:left="540" w:hanging="271"/>
      </w:pPr>
      <w:r>
        <w:rPr>
          <w:rFonts w:ascii="Segoe UI" w:hAnsi="Segoe UI"/>
          <w:color w:val="19322B"/>
          <w:sz w:val="21"/>
        </w:rPr>
        <w:t>Photography and media</w:t>
      </w:r>
    </w:p>
    <w:p>
      <w:pPr>
        <w:numPr>
          <w:ilvl w:val="0"/>
          <w:numId w:val="13"/>
        </w:numPr>
        <w:spacing w:before="0" w:after="80" w:line="300" w:lineRule="auto"/>
        <w:ind w:left="540" w:hanging="271"/>
      </w:pPr>
      <w:r>
        <w:rPr>
          <w:rFonts w:ascii="Segoe UI" w:hAnsi="Segoe UI"/>
          <w:color w:val="19322B"/>
          <w:sz w:val="21"/>
        </w:rPr>
        <w:t>Voice and content standards</w:t>
      </w:r>
    </w:p>
    <w:p>
      <w:pPr>
        <w:numPr>
          <w:ilvl w:val="0"/>
          <w:numId w:val="13"/>
        </w:numPr>
        <w:spacing w:before="0" w:after="80" w:line="300" w:lineRule="auto"/>
        <w:ind w:left="540" w:hanging="271"/>
      </w:pPr>
      <w:r>
        <w:rPr>
          <w:rFonts w:ascii="Segoe UI" w:hAnsi="Segoe UI"/>
          <w:color w:val="19322B"/>
          <w:sz w:val="21"/>
        </w:rPr>
        <w:t>Accessibility standards</w:t>
      </w:r>
    </w:p>
    <w:p>
      <w:pPr>
        <w:numPr>
          <w:ilvl w:val="0"/>
          <w:numId w:val="13"/>
        </w:numPr>
        <w:spacing w:before="0" w:after="80" w:line="300" w:lineRule="auto"/>
        <w:ind w:left="540" w:hanging="271"/>
      </w:pPr>
      <w:r>
        <w:rPr>
          <w:rFonts w:ascii="Segoe UI" w:hAnsi="Segoe UI"/>
          <w:color w:val="19322B"/>
          <w:sz w:val="21"/>
        </w:rPr>
        <w:t>Motion standards</w:t>
      </w:r>
    </w:p>
    <w:p>
      <w:pPr>
        <w:numPr>
          <w:ilvl w:val="0"/>
          <w:numId w:val="13"/>
        </w:numPr>
        <w:spacing w:before="0" w:after="80" w:line="300" w:lineRule="auto"/>
        <w:ind w:left="540" w:hanging="271"/>
      </w:pPr>
      <w:r>
        <w:rPr>
          <w:rFonts w:ascii="Segoe UI" w:hAnsi="Segoe UI"/>
          <w:color w:val="19322B"/>
          <w:sz w:val="21"/>
        </w:rPr>
        <w:t>New page checklist</w:t>
      </w:r>
    </w:p>
    <w:p>
      <w:pPr>
        <w:numPr>
          <w:ilvl w:val="0"/>
          <w:numId w:val="13"/>
        </w:numPr>
        <w:spacing w:before="0" w:after="80" w:line="300" w:lineRule="auto"/>
        <w:ind w:left="540" w:hanging="271"/>
      </w:pPr>
      <w:r>
        <w:rPr>
          <w:rFonts w:ascii="Segoe UI" w:hAnsi="Segoe UI"/>
          <w:color w:val="19322B"/>
          <w:sz w:val="21"/>
        </w:rPr>
        <w:t>Governance</w:t>
      </w:r>
    </w:p>
    <w:p>
      <w:pPr>
        <w:numPr>
          <w:ilvl w:val="0"/>
          <w:numId w:val="13"/>
        </w:numPr>
        <w:spacing w:before="0" w:after="80" w:line="300" w:lineRule="auto"/>
        <w:ind w:left="540" w:hanging="271"/>
      </w:pPr>
      <w:r>
        <w:rPr>
          <w:rFonts w:ascii="Segoe UI" w:hAnsi="Segoe UI"/>
          <w:color w:val="19322B"/>
          <w:sz w:val="21"/>
        </w:rPr>
        <w:t>Ministry Management interface</w:t>
      </w:r>
    </w:p>
    <w:p>
      <w:pPr>
        <w:numPr>
          <w:ilvl w:val="0"/>
          <w:numId w:val="13"/>
        </w:numPr>
        <w:spacing w:before="0" w:after="80" w:line="300" w:lineRule="auto"/>
        <w:ind w:left="540" w:hanging="271"/>
      </w:pPr>
      <w:r>
        <w:rPr>
          <w:rFonts w:ascii="Segoe UI" w:hAnsi="Segoe UI"/>
          <w:color w:val="19322B"/>
          <w:sz w:val="21"/>
        </w:rPr>
        <w:t>Expanded bookkeeping screens</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both fields, hide the save action, and expose one explicit </w:t>
      </w:r>
      <w:r>
        <w:rPr>
          <w:rFonts w:ascii="Segoe UI" w:hAnsi="Segoe UI"/>
          <w:b/>
          <w:color w:val="19322B"/>
          <w:sz w:val="22"/>
        </w:rPr>
        <w:t>Unlock credentials</w:t>
      </w:r>
      <w:r>
        <w:rPr>
          <w:rFonts w:ascii="Segoe UI" w:hAnsi="Segoe UI"/>
          <w:color w:val="19322B"/>
          <w:sz w:val="22"/>
        </w:rPr>
        <w:t xml:space="preserve"> action. Unlocking requires entry of a new password; saving revokes prior traveler sessions and returns the card to its locked state.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