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4.55</w:t>
      </w:r>
      <w:r>
        <w:rPr>
          <w:rFonts w:ascii="Segoe UI" w:hAnsi="Segoe UI"/>
          <w:color w:val="D99B42"/>
          <w:sz w:val="20"/>
        </w:rPr>
        <w:t xml:space="preserve">  •  </w:t>
      </w:r>
      <w:r>
        <w:rPr>
          <w:rFonts w:ascii="Segoe UI" w:hAnsi="Segoe UI"/>
          <w:color w:val="60726B"/>
          <w:sz w:val="20"/>
        </w:rPr>
        <w:t>Last reviewed October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Live public questions and portal knowledge tools</w:t>
            </w:r>
          </w:p>
          <w:p>
            <w:pPr>
              <w:numPr>
                <w:ilvl w:val="0"/>
                <w:numId w:val="13"/>
              </w:numPr>
              <w:spacing w:before="0" w:after="60" w:line="252" w:lineRule="auto"/>
              <w:ind w:left="540" w:hanging="271"/>
            </w:pPr>
            <w:r>
              <w:rPr>
                <w:rFonts w:ascii="Segoe UI" w:hAnsi="Segoe UI"/>
                <w:color w:val="19322B"/>
                <w:sz w:val="21"/>
              </w:rPr>
              <w:t>Internship questions and knowledge preview</w:t>
            </w:r>
          </w:p>
          <w:p>
            <w:pPr>
              <w:numPr>
                <w:ilvl w:val="0"/>
                <w:numId w:val="13"/>
              </w:numPr>
              <w:spacing w:before="0" w:after="60" w:line="252" w:lineRule="auto"/>
              <w:ind w:left="540" w:hanging="271"/>
            </w:pPr>
            <w:r>
              <w:rPr>
                <w:rFonts w:ascii="Segoe UI" w:hAnsi="Segoe UI"/>
                <w:color w:val="19322B"/>
                <w:sz w:val="21"/>
              </w:rPr>
              <w:t>Mexico ministry partner recognition</w:t>
            </w:r>
          </w:p>
          <w:p>
            <w:pPr>
              <w:numPr>
                <w:ilvl w:val="0"/>
                <w:numId w:val="13"/>
              </w:numPr>
              <w:spacing w:before="0" w:after="60" w:line="252" w:lineRule="auto"/>
              <w:ind w:left="540" w:hanging="271"/>
            </w:pPr>
            <w:r>
              <w:rPr>
                <w:rFonts w:ascii="Segoe UI" w:hAnsi="Segoe UI"/>
                <w:color w:val="19322B"/>
                <w:sz w:val="21"/>
              </w:rPr>
              <w:t>Ministry home layout</w:t>
            </w:r>
          </w:p>
          <w:p>
            <w:pPr>
              <w:numPr>
                <w:ilvl w:val="0"/>
                <w:numId w:val="13"/>
              </w:numPr>
              <w:spacing w:before="0" w:after="60" w:line="252" w:lineRule="auto"/>
              <w:ind w:left="540" w:hanging="271"/>
            </w:pPr>
            <w:r>
              <w:rPr>
                <w:rFonts w:ascii="Segoe UI" w:hAnsi="Segoe UI"/>
                <w:color w:val="19322B"/>
                <w:sz w:val="21"/>
              </w:rPr>
              <w:t>Payment inbox contact association</w:t>
            </w:r>
          </w:p>
          <w:p>
            <w:pPr>
              <w:numPr>
                <w:ilvl w:val="0"/>
                <w:numId w:val="13"/>
              </w:numPr>
              <w:spacing w:before="0" w:after="60" w:line="252" w:lineRule="auto"/>
              <w:ind w:left="540" w:hanging="271"/>
            </w:pPr>
            <w:r>
              <w:rPr>
                <w:rFonts w:ascii="Segoe UI" w:hAnsi="Segoe UI"/>
                <w:color w:val="19322B"/>
                <w:sz w:val="21"/>
              </w:rPr>
              <w:t>Inquiry follow-up controls</w:t>
            </w:r>
          </w:p>
          <w:p>
            <w:pPr>
              <w:numPr>
                <w:ilvl w:val="0"/>
                <w:numId w:val="13"/>
              </w:numPr>
              <w:spacing w:before="0" w:after="60" w:line="252" w:lineRule="auto"/>
              <w:ind w:left="540" w:hanging="271"/>
            </w:pPr>
            <w:r>
              <w:rPr>
                <w:rFonts w:ascii="Segoe UI" w:hAnsi="Segoe UI"/>
                <w:color w:val="19322B"/>
                <w:sz w:val="21"/>
              </w:rPr>
              <w:t>Home financial summary</w:t>
            </w:r>
          </w:p>
          <w:p>
            <w:pPr>
              <w:numPr>
                <w:ilvl w:val="0"/>
                <w:numId w:val="13"/>
              </w:numPr>
              <w:spacing w:before="0" w:after="60" w:line="252" w:lineRule="auto"/>
              <w:ind w:left="540" w:hanging="271"/>
            </w:pPr>
            <w:r>
              <w:rPr>
                <w:rFonts w:ascii="Segoe UI" w:hAnsi="Segoe UI"/>
                <w:color w:val="19322B"/>
                <w:sz w:val="21"/>
              </w:rPr>
              <w:t>Contact column filters</w:t>
            </w:r>
          </w:p>
          <w:p>
            <w:pPr>
              <w:numPr>
                <w:ilvl w:val="0"/>
                <w:numId w:val="13"/>
              </w:numPr>
              <w:spacing w:before="0" w:after="60" w:line="252" w:lineRule="auto"/>
              <w:ind w:left="540" w:hanging="271"/>
            </w:pPr>
            <w:r>
              <w:rPr>
                <w:rFonts w:ascii="Segoe UI" w:hAnsi="Segoe UI"/>
                <w:color w:val="19322B"/>
                <w:sz w:val="21"/>
              </w:rPr>
              <w:t>Itinerary categories and traveler views</w:t>
            </w:r>
          </w:p>
          <w:p>
            <w:pPr>
              <w:numPr>
                <w:ilvl w:val="0"/>
                <w:numId w:val="13"/>
              </w:numPr>
              <w:spacing w:before="0" w:after="60" w:line="252" w:lineRule="auto"/>
              <w:ind w:left="540" w:hanging="271"/>
            </w:pPr>
            <w:r>
              <w:rPr>
                <w:rFonts w:ascii="Segoe UI" w:hAnsi="Segoe UI"/>
                <w:color w:val="19322B"/>
                <w:sz w:val="21"/>
              </w:rPr>
              <w:t>Scripture reference links and hymns</w:t>
            </w:r>
          </w:p>
          <w:p>
            <w:pPr>
              <w:numPr>
                <w:ilvl w:val="0"/>
                <w:numId w:val="13"/>
              </w:numPr>
              <w:spacing w:before="0" w:after="60" w:line="252" w:lineRule="auto"/>
              <w:ind w:left="540" w:hanging="271"/>
            </w:pPr>
            <w:r>
              <w:rPr>
                <w:rFonts w:ascii="Segoe UI" w:hAnsi="Segoe UI"/>
                <w:color w:val="19322B"/>
                <w:sz w:val="21"/>
              </w:rPr>
              <w:t>Ministry Home presentation</w:t>
            </w:r>
          </w:p>
          <w:p>
            <w:pPr>
              <w:numPr>
                <w:ilvl w:val="0"/>
                <w:numId w:val="13"/>
              </w:numPr>
              <w:spacing w:before="0" w:after="60" w:line="252" w:lineRule="auto"/>
              <w:ind w:left="540" w:hanging="271"/>
            </w:pPr>
            <w:r>
              <w:rPr>
                <w:rFonts w:ascii="Segoe UI" w:hAnsi="Segoe UI"/>
                <w:color w:val="19322B"/>
                <w:sz w:val="21"/>
              </w:rPr>
              <w:t>Finance labels and expense review</w:t>
            </w:r>
          </w:p>
          <w:p>
            <w:pPr>
              <w:numPr>
                <w:ilvl w:val="0"/>
                <w:numId w:val="13"/>
              </w:numPr>
              <w:spacing w:before="0" w:after="60" w:line="252" w:lineRule="auto"/>
              <w:ind w:left="540" w:hanging="271"/>
            </w:pPr>
            <w:r>
              <w:rPr>
                <w:rFonts w:ascii="Segoe UI" w:hAnsi="Segoe UI"/>
                <w:color w:val="19322B"/>
                <w:sz w:val="21"/>
              </w:rPr>
              <w:t>Private user guide and portal footer</w:t>
            </w:r>
          </w:p>
          <w:p>
            <w:pPr>
              <w:numPr>
                <w:ilvl w:val="0"/>
                <w:numId w:val="13"/>
              </w:numPr>
              <w:spacing w:before="0" w:after="60" w:line="252" w:lineRule="auto"/>
              <w:ind w:left="540" w:hanging="271"/>
            </w:pPr>
            <w:r>
              <w:rPr>
                <w:rFonts w:ascii="Segoe UI" w:hAnsi="Segoe UI"/>
                <w:color w:val="19322B"/>
                <w:sz w:val="21"/>
              </w:rPr>
              <w:t>Contact giving history</w:t>
            </w:r>
          </w:p>
          <w:p>
            <w:pPr>
              <w:numPr>
                <w:ilvl w:val="0"/>
                <w:numId w:val="13"/>
              </w:numPr>
              <w:spacing w:before="0" w:after="60" w:line="252" w:lineRule="auto"/>
              <w:ind w:left="540" w:hanging="271"/>
            </w:pPr>
            <w:r>
              <w:rPr>
                <w:rFonts w:ascii="Segoe UI" w:hAnsi="Segoe UI"/>
                <w:color w:val="19322B"/>
                <w:sz w:val="21"/>
              </w:rPr>
              <w:t>Planning workspace and interested submission review</w:t>
            </w:r>
          </w:p>
          <w:p>
            <w:pPr>
              <w:numPr>
                <w:ilvl w:val="0"/>
                <w:numId w:val="13"/>
              </w:numPr>
              <w:spacing w:before="0" w:after="60" w:line="252" w:lineRule="auto"/>
              <w:ind w:left="540" w:hanging="271"/>
            </w:pPr>
            <w:r>
              <w:rPr>
                <w:rFonts w:ascii="Segoe UI" w:hAnsi="Segoe UI"/>
                <w:color w:val="19322B"/>
                <w:sz w:val="21"/>
              </w:rPr>
              <w:t>Trip photos and past trip stories</w:t>
            </w:r>
          </w:p>
          <w:p>
            <w:pPr>
              <w:numPr>
                <w:ilvl w:val="0"/>
                <w:numId w:val="13"/>
              </w:numPr>
              <w:spacing w:before="0" w:after="60" w:line="252" w:lineRule="auto"/>
              <w:ind w:left="540" w:hanging="271"/>
            </w:pPr>
            <w:r>
              <w:rPr>
                <w:rFonts w:ascii="Segoe UI" w:hAnsi="Segoe UI"/>
                <w:color w:val="19322B"/>
                <w:sz w:val="21"/>
              </w:rPr>
              <w:t>Shared MMT navigation</w:t>
            </w:r>
          </w:p>
          <w:p>
            <w:pPr>
              <w:numPr>
                <w:ilvl w:val="0"/>
                <w:numId w:val="13"/>
              </w:numPr>
              <w:spacing w:before="0" w:after="60" w:line="252" w:lineRule="auto"/>
              <w:ind w:left="540" w:hanging="271"/>
            </w:pPr>
            <w:r>
              <w:rPr>
                <w:rFonts w:ascii="Segoe UI" w:hAnsi="Segoe UI"/>
                <w:color w:val="19322B"/>
                <w:sz w:val="21"/>
              </w:rPr>
              <w:t>Devotional library</w:t>
            </w:r>
          </w:p>
          <w:p>
            <w:pPr>
              <w:numPr>
                <w:ilvl w:val="0"/>
                <w:numId w:val="13"/>
              </w:numPr>
              <w:spacing w:before="0" w:after="60" w:line="252" w:lineRule="auto"/>
              <w:ind w:left="540" w:hanging="271"/>
            </w:pPr>
            <w:r>
              <w:rPr>
                <w:rFonts w:ascii="Segoe UI" w:hAnsi="Segoe UI"/>
                <w:color w:val="19322B"/>
                <w:sz w:val="21"/>
              </w:rPr>
              <w:t>Collapsible devotional days</w:t>
            </w:r>
          </w:p>
          <w:p>
            <w:pPr>
              <w:numPr>
                <w:ilvl w:val="0"/>
                <w:numId w:val="13"/>
              </w:numPr>
              <w:spacing w:before="0" w:after="60" w:line="252" w:lineRule="auto"/>
              <w:ind w:left="540" w:hanging="271"/>
            </w:pPr>
            <w:r>
              <w:rPr>
                <w:rFonts w:ascii="Segoe UI" w:hAnsi="Segoe UI"/>
                <w:color w:val="19322B"/>
                <w:sz w:val="21"/>
              </w:rPr>
              <w:t>Traveler study typography</w:t>
            </w:r>
          </w:p>
          <w:p>
            <w:pPr>
              <w:numPr>
                <w:ilvl w:val="0"/>
                <w:numId w:val="13"/>
              </w:numPr>
              <w:spacing w:before="0" w:after="60" w:line="252" w:lineRule="auto"/>
              <w:ind w:left="540" w:hanging="271"/>
            </w:pPr>
            <w:r>
              <w:rPr>
                <w:rFonts w:ascii="Segoe UI" w:hAnsi="Segoe UI"/>
                <w:color w:val="19322B"/>
                <w:sz w:val="21"/>
              </w:rPr>
              <w:t>Dated trip preview layout</w:t>
            </w:r>
          </w:p>
          <w:p>
            <w:pPr>
              <w:numPr>
                <w:ilvl w:val="0"/>
                <w:numId w:val="13"/>
              </w:numPr>
              <w:spacing w:before="0" w:after="60" w:line="252" w:lineRule="auto"/>
              <w:ind w:left="540" w:hanging="271"/>
            </w:pPr>
            <w:r>
              <w:rPr>
                <w:rFonts w:ascii="Segoe UI" w:hAnsi="Segoe UI"/>
                <w:color w:val="19322B"/>
                <w:sz w:val="21"/>
              </w:rPr>
              <w:t>Current shared trip password</w:t>
            </w:r>
          </w:p>
          <w:p>
            <w:pPr>
              <w:numPr>
                <w:ilvl w:val="0"/>
                <w:numId w:val="13"/>
              </w:numPr>
              <w:spacing w:before="0" w:after="60" w:line="252" w:lineRule="auto"/>
              <w:ind w:left="540" w:hanging="271"/>
            </w:pPr>
            <w:r>
              <w:rPr>
                <w:rFonts w:ascii="Segoe UI" w:hAnsi="Segoe UI"/>
                <w:color w:val="19322B"/>
                <w:sz w:val="21"/>
              </w:rPr>
              <w:t>Inbox completion and trash</w:t>
            </w:r>
          </w:p>
          <w:p>
            <w:pPr>
              <w:numPr>
                <w:ilvl w:val="0"/>
                <w:numId w:val="13"/>
              </w:numPr>
              <w:spacing w:before="0" w:after="60" w:line="252" w:lineRule="auto"/>
              <w:ind w:left="540" w:hanging="271"/>
            </w:pPr>
            <w:r>
              <w:rPr>
                <w:rFonts w:ascii="Segoe UI" w:hAnsi="Segoe UI"/>
                <w:color w:val="19322B"/>
                <w:sz w:val="21"/>
              </w:rPr>
              <w:t>Contact directory and spreadsheet</w:t>
            </w:r>
          </w:p>
          <w:p>
            <w:pPr>
              <w:numPr>
                <w:ilvl w:val="0"/>
                <w:numId w:val="13"/>
              </w:numPr>
              <w:spacing w:before="0" w:after="60" w:line="252" w:lineRule="auto"/>
              <w:ind w:left="540" w:hanging="271"/>
            </w:pPr>
            <w:r>
              <w:rPr>
                <w:rFonts w:ascii="Segoe UI" w:hAnsi="Segoe UI"/>
                <w:color w:val="19322B"/>
                <w:sz w:val="21"/>
              </w:rPr>
              <w:t>Trip budget comparison and bulk editing</w:t>
            </w:r>
          </w:p>
          <w:p>
            <w:pPr>
              <w:numPr>
                <w:ilvl w:val="0"/>
                <w:numId w:val="13"/>
              </w:numPr>
              <w:spacing w:before="0" w:after="60" w:line="252" w:lineRule="auto"/>
              <w:ind w:left="540" w:hanging="271"/>
            </w:pPr>
            <w:r>
              <w:rPr>
                <w:rFonts w:ascii="Segoe UI" w:hAnsi="Segoe UI"/>
                <w:color w:val="19322B"/>
                <w:sz w:val="21"/>
              </w:rPr>
              <w:t>Shared portal account management</w:t>
            </w:r>
          </w:p>
          <w:p>
            <w:pPr>
              <w:numPr>
                <w:ilvl w:val="0"/>
                <w:numId w:val="13"/>
              </w:numPr>
              <w:spacing w:before="0" w:after="60" w:line="252" w:lineRule="auto"/>
              <w:ind w:left="540" w:hanging="271"/>
            </w:pPr>
            <w:r>
              <w:rPr>
                <w:rFonts w:ascii="Segoe UI" w:hAnsi="Segoe UI"/>
                <w:color w:val="19322B"/>
                <w:sz w:val="21"/>
              </w:rPr>
              <w:t>Donation split editor</w:t>
            </w:r>
          </w:p>
          <w:p>
            <w:pPr>
              <w:numPr>
                <w:ilvl w:val="0"/>
                <w:numId w:val="13"/>
              </w:numPr>
              <w:spacing w:before="0" w:after="60" w:line="252" w:lineRule="auto"/>
              <w:ind w:left="540" w:hanging="271"/>
            </w:pPr>
            <w:r>
              <w:rPr>
                <w:rFonts w:ascii="Segoe UI" w:hAnsi="Segoe UI"/>
                <w:color w:val="19322B"/>
                <w:sz w:val="21"/>
              </w:rPr>
              <w:t>MMT account and access screens</w:t>
            </w:r>
          </w:p>
          <w:p>
            <w:pPr>
              <w:numPr>
                <w:ilvl w:val="0"/>
                <w:numId w:val="13"/>
              </w:numPr>
              <w:spacing w:before="0" w:after="60" w:line="252" w:lineRule="auto"/>
              <w:ind w:left="540" w:hanging="271"/>
            </w:pPr>
            <w:r>
              <w:rPr>
                <w:rFonts w:ascii="Segoe UI" w:hAnsi="Segoe UI"/>
                <w:color w:val="19322B"/>
                <w:sz w:val="21"/>
              </w:rPr>
              <w:t>Destination management patterns</w:t>
            </w:r>
          </w:p>
        </w:tc>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Purpose</w:t>
            </w:r>
          </w:p>
          <w:p>
            <w:pPr>
              <w:numPr>
                <w:ilvl w:val="0"/>
                <w:numId w:val="13"/>
              </w:numPr>
              <w:spacing w:before="0" w:after="60" w:line="252" w:lineRule="auto"/>
              <w:ind w:left="540" w:hanging="271"/>
            </w:pPr>
            <w:r>
              <w:rPr>
                <w:rFonts w:ascii="Segoe UI" w:hAnsi="Segoe UI"/>
                <w:color w:val="19322B"/>
                <w:sz w:val="21"/>
              </w:rPr>
              <w:t>Canonical design sources</w:t>
            </w:r>
          </w:p>
          <w:p>
            <w:pPr>
              <w:numPr>
                <w:ilvl w:val="0"/>
                <w:numId w:val="13"/>
              </w:numPr>
              <w:spacing w:before="0" w:after="60" w:line="252" w:lineRule="auto"/>
              <w:ind w:left="540" w:hanging="271"/>
            </w:pPr>
            <w:r>
              <w:rPr>
                <w:rFonts w:ascii="Segoe UI" w:hAnsi="Segoe UI"/>
                <w:color w:val="19322B"/>
                <w:sz w:val="21"/>
              </w:rPr>
              <w:t>Brand foundation</w:t>
            </w:r>
          </w:p>
          <w:p>
            <w:pPr>
              <w:numPr>
                <w:ilvl w:val="0"/>
                <w:numId w:val="13"/>
              </w:numPr>
              <w:spacing w:before="0" w:after="60" w:line="252" w:lineRule="auto"/>
              <w:ind w:left="540" w:hanging="271"/>
            </w:pPr>
            <w:r>
              <w:rPr>
                <w:rFonts w:ascii="Segoe UI" w:hAnsi="Segoe UI"/>
                <w:color w:val="19322B"/>
                <w:sz w:val="21"/>
              </w:rPr>
              <w:t>Logo system</w:t>
            </w:r>
          </w:p>
          <w:p>
            <w:pPr>
              <w:numPr>
                <w:ilvl w:val="0"/>
                <w:numId w:val="13"/>
              </w:numPr>
              <w:spacing w:before="0" w:after="60" w:line="252" w:lineRule="auto"/>
              <w:ind w:left="540" w:hanging="271"/>
            </w:pPr>
            <w:r>
              <w:rPr>
                <w:rFonts w:ascii="Segoe UI" w:hAnsi="Segoe UI"/>
                <w:color w:val="19322B"/>
                <w:sz w:val="21"/>
              </w:rPr>
              <w:t>Color system</w:t>
            </w:r>
          </w:p>
          <w:p>
            <w:pPr>
              <w:numPr>
                <w:ilvl w:val="0"/>
                <w:numId w:val="13"/>
              </w:numPr>
              <w:spacing w:before="0" w:after="60" w:line="252" w:lineRule="auto"/>
              <w:ind w:left="540" w:hanging="271"/>
            </w:pPr>
            <w:r>
              <w:rPr>
                <w:rFonts w:ascii="Segoe UI" w:hAnsi="Segoe UI"/>
                <w:color w:val="19322B"/>
                <w:sz w:val="21"/>
              </w:rPr>
              <w:t>Typography</w:t>
            </w:r>
          </w:p>
          <w:p>
            <w:pPr>
              <w:numPr>
                <w:ilvl w:val="0"/>
                <w:numId w:val="13"/>
              </w:numPr>
              <w:spacing w:before="0" w:after="60" w:line="252" w:lineRule="auto"/>
              <w:ind w:left="540" w:hanging="271"/>
            </w:pPr>
            <w:r>
              <w:rPr>
                <w:rFonts w:ascii="Segoe UI" w:hAnsi="Segoe UI"/>
                <w:color w:val="19322B"/>
                <w:sz w:val="21"/>
              </w:rPr>
              <w:t>Layout and spacing</w:t>
            </w:r>
          </w:p>
          <w:p>
            <w:pPr>
              <w:numPr>
                <w:ilvl w:val="0"/>
                <w:numId w:val="13"/>
              </w:numPr>
              <w:spacing w:before="0" w:after="60" w:line="252" w:lineRule="auto"/>
              <w:ind w:left="540" w:hanging="271"/>
            </w:pPr>
            <w:r>
              <w:rPr>
                <w:rFonts w:ascii="Segoe UI" w:hAnsi="Segoe UI"/>
                <w:color w:val="19322B"/>
                <w:sz w:val="21"/>
              </w:rPr>
              <w:t>Core components</w:t>
            </w:r>
          </w:p>
          <w:p>
            <w:pPr>
              <w:numPr>
                <w:ilvl w:val="0"/>
                <w:numId w:val="13"/>
              </w:numPr>
              <w:spacing w:before="0" w:after="60" w:line="252" w:lineRule="auto"/>
              <w:ind w:left="540" w:hanging="271"/>
            </w:pPr>
            <w:r>
              <w:rPr>
                <w:rFonts w:ascii="Segoe UI" w:hAnsi="Segoe UI"/>
                <w:color w:val="19322B"/>
                <w:sz w:val="21"/>
              </w:rPr>
              <w:t>Photography and media</w:t>
            </w:r>
          </w:p>
          <w:p>
            <w:pPr>
              <w:numPr>
                <w:ilvl w:val="0"/>
                <w:numId w:val="13"/>
              </w:numPr>
              <w:spacing w:before="0" w:after="60" w:line="252" w:lineRule="auto"/>
              <w:ind w:left="540" w:hanging="271"/>
            </w:pPr>
            <w:r>
              <w:rPr>
                <w:rFonts w:ascii="Segoe UI" w:hAnsi="Segoe UI"/>
                <w:color w:val="19322B"/>
                <w:sz w:val="21"/>
              </w:rPr>
              <w:t>Voice and content standards</w:t>
            </w:r>
          </w:p>
          <w:p>
            <w:pPr>
              <w:numPr>
                <w:ilvl w:val="0"/>
                <w:numId w:val="13"/>
              </w:numPr>
              <w:spacing w:before="0" w:after="60" w:line="252" w:lineRule="auto"/>
              <w:ind w:left="540" w:hanging="271"/>
            </w:pPr>
            <w:r>
              <w:rPr>
                <w:rFonts w:ascii="Segoe UI" w:hAnsi="Segoe UI"/>
                <w:color w:val="19322B"/>
                <w:sz w:val="21"/>
              </w:rPr>
              <w:t>Accessibility standards</w:t>
            </w:r>
          </w:p>
          <w:p>
            <w:pPr>
              <w:numPr>
                <w:ilvl w:val="0"/>
                <w:numId w:val="13"/>
              </w:numPr>
              <w:spacing w:before="0" w:after="60" w:line="252" w:lineRule="auto"/>
              <w:ind w:left="540" w:hanging="271"/>
            </w:pPr>
            <w:r>
              <w:rPr>
                <w:rFonts w:ascii="Segoe UI" w:hAnsi="Segoe UI"/>
                <w:color w:val="19322B"/>
                <w:sz w:val="21"/>
              </w:rPr>
              <w:t>Motion standards</w:t>
            </w:r>
          </w:p>
          <w:p>
            <w:pPr>
              <w:numPr>
                <w:ilvl w:val="0"/>
                <w:numId w:val="13"/>
              </w:numPr>
              <w:spacing w:before="0" w:after="60" w:line="252" w:lineRule="auto"/>
              <w:ind w:left="540" w:hanging="271"/>
            </w:pPr>
            <w:r>
              <w:rPr>
                <w:rFonts w:ascii="Segoe UI" w:hAnsi="Segoe UI"/>
                <w:color w:val="19322B"/>
                <w:sz w:val="21"/>
              </w:rPr>
              <w:t>New page checklist</w:t>
            </w:r>
          </w:p>
          <w:p>
            <w:pPr>
              <w:numPr>
                <w:ilvl w:val="0"/>
                <w:numId w:val="13"/>
              </w:numPr>
              <w:spacing w:before="0" w:after="60" w:line="252" w:lineRule="auto"/>
              <w:ind w:left="540" w:hanging="271"/>
            </w:pPr>
            <w:r>
              <w:rPr>
                <w:rFonts w:ascii="Segoe UI" w:hAnsi="Segoe UI"/>
                <w:color w:val="19322B"/>
                <w:sz w:val="21"/>
              </w:rPr>
              <w:t>Governance</w:t>
            </w:r>
          </w:p>
          <w:p>
            <w:pPr>
              <w:numPr>
                <w:ilvl w:val="0"/>
                <w:numId w:val="13"/>
              </w:numPr>
              <w:spacing w:before="0" w:after="60" w:line="252" w:lineRule="auto"/>
              <w:ind w:left="540" w:hanging="271"/>
            </w:pPr>
            <w:r>
              <w:rPr>
                <w:rFonts w:ascii="Segoe UI" w:hAnsi="Segoe UI"/>
                <w:color w:val="19322B"/>
                <w:sz w:val="21"/>
              </w:rPr>
              <w:t>Ministry Management interface</w:t>
            </w:r>
          </w:p>
          <w:p>
            <w:pPr>
              <w:numPr>
                <w:ilvl w:val="0"/>
                <w:numId w:val="13"/>
              </w:numPr>
              <w:spacing w:before="0" w:after="60" w:line="252" w:lineRule="auto"/>
              <w:ind w:left="540" w:hanging="271"/>
            </w:pPr>
            <w:r>
              <w:rPr>
                <w:rFonts w:ascii="Segoe UI" w:hAnsi="Segoe UI"/>
                <w:color w:val="19322B"/>
                <w:sz w:val="21"/>
              </w:rPr>
              <w:t>Expanded bookkeeping screens</w:t>
            </w:r>
          </w:p>
          <w:p>
            <w:pPr>
              <w:numPr>
                <w:ilvl w:val="0"/>
                <w:numId w:val="13"/>
              </w:numPr>
              <w:spacing w:before="0" w:after="60" w:line="252" w:lineRule="auto"/>
              <w:ind w:left="540" w:hanging="271"/>
            </w:pPr>
            <w:r>
              <w:rPr>
                <w:rFonts w:ascii="Segoe UI" w:hAnsi="Segoe UI"/>
                <w:color w:val="19322B"/>
                <w:sz w:val="21"/>
              </w:rPr>
              <w:t>User deletion</w:t>
            </w:r>
          </w:p>
          <w:p>
            <w:pPr>
              <w:numPr>
                <w:ilvl w:val="0"/>
                <w:numId w:val="13"/>
              </w:numPr>
              <w:spacing w:before="0" w:after="60" w:line="252" w:lineRule="auto"/>
              <w:ind w:left="540" w:hanging="271"/>
            </w:pPr>
            <w:r>
              <w:rPr>
                <w:rFonts w:ascii="Segoe UI" w:hAnsi="Segoe UI"/>
                <w:color w:val="19322B"/>
                <w:sz w:val="21"/>
              </w:rPr>
              <w:t>Personally received gift presentation</w:t>
            </w:r>
          </w:p>
          <w:p>
            <w:pPr>
              <w:numPr>
                <w:ilvl w:val="0"/>
                <w:numId w:val="13"/>
              </w:numPr>
              <w:spacing w:before="0" w:after="60" w:line="252" w:lineRule="auto"/>
              <w:ind w:left="540" w:hanging="271"/>
            </w:pPr>
            <w:r>
              <w:rPr>
                <w:rFonts w:ascii="Segoe UI" w:hAnsi="Segoe UI"/>
                <w:color w:val="19322B"/>
                <w:sz w:val="21"/>
              </w:rPr>
              <w:t>Traveling trips and public follow-along</w:t>
            </w:r>
          </w:p>
          <w:p>
            <w:pPr>
              <w:numPr>
                <w:ilvl w:val="0"/>
                <w:numId w:val="13"/>
              </w:numPr>
              <w:spacing w:before="0" w:after="60" w:line="252" w:lineRule="auto"/>
              <w:ind w:left="540" w:hanging="271"/>
            </w:pPr>
            <w:r>
              <w:rPr>
                <w:rFonts w:ascii="Segoe UI" w:hAnsi="Segoe UI"/>
                <w:color w:val="19322B"/>
                <w:sz w:val="21"/>
              </w:rPr>
              <w:t>Gift thank-you email acknowledgments</w:t>
            </w:r>
          </w:p>
          <w:p>
            <w:pPr>
              <w:numPr>
                <w:ilvl w:val="0"/>
                <w:numId w:val="13"/>
              </w:numPr>
              <w:spacing w:before="0" w:after="60" w:line="252" w:lineRule="auto"/>
              <w:ind w:left="540" w:hanging="271"/>
            </w:pPr>
            <w:r>
              <w:rPr>
                <w:rFonts w:ascii="Segoe UI" w:hAnsi="Segoe UI"/>
                <w:color w:val="19322B"/>
                <w:sz w:val="21"/>
              </w:rPr>
              <w:t>Story preview presentation</w:t>
            </w:r>
          </w:p>
          <w:p>
            <w:pPr>
              <w:numPr>
                <w:ilvl w:val="0"/>
                <w:numId w:val="13"/>
              </w:numPr>
              <w:spacing w:before="0" w:after="60" w:line="252" w:lineRule="auto"/>
              <w:ind w:left="540" w:hanging="271"/>
            </w:pPr>
            <w:r>
              <w:rPr>
                <w:rFonts w:ascii="Segoe UI" w:hAnsi="Segoe UI"/>
                <w:color w:val="19322B"/>
                <w:sz w:val="21"/>
              </w:rPr>
              <w:t>Related contact card</w:t>
            </w:r>
          </w:p>
          <w:p>
            <w:pPr>
              <w:numPr>
                <w:ilvl w:val="0"/>
                <w:numId w:val="13"/>
              </w:numPr>
              <w:spacing w:before="0" w:after="60" w:line="252" w:lineRule="auto"/>
              <w:ind w:left="540" w:hanging="271"/>
            </w:pPr>
            <w:r>
              <w:rPr>
                <w:rFonts w:ascii="Segoe UI" w:hAnsi="Segoe UI"/>
                <w:color w:val="19322B"/>
                <w:sz w:val="21"/>
              </w:rPr>
              <w:t>Book reading pages</w:t>
            </w:r>
          </w:p>
          <w:p>
            <w:pPr>
              <w:numPr>
                <w:ilvl w:val="0"/>
                <w:numId w:val="13"/>
              </w:numPr>
              <w:spacing w:before="0" w:after="60" w:line="252" w:lineRule="auto"/>
              <w:ind w:left="540" w:hanging="271"/>
            </w:pPr>
            <w:r>
              <w:rPr>
                <w:rFonts w:ascii="Segoe UI" w:hAnsi="Segoe UI"/>
                <w:color w:val="19322B"/>
                <w:sz w:val="21"/>
              </w:rPr>
              <w:t>Managed contact access categories</w:t>
            </w:r>
          </w:p>
          <w:p>
            <w:pPr>
              <w:numPr>
                <w:ilvl w:val="0"/>
                <w:numId w:val="13"/>
              </w:numPr>
              <w:spacing w:before="0" w:after="60" w:line="252" w:lineRule="auto"/>
              <w:ind w:left="540" w:hanging="271"/>
            </w:pPr>
            <w:r>
              <w:rPr>
                <w:rFonts w:ascii="Segoe UI" w:hAnsi="Segoe UI"/>
                <w:color w:val="19322B"/>
                <w:sz w:val="21"/>
              </w:rPr>
              <w:t>Three ways to serve in the local preview</w:t>
            </w:r>
          </w:p>
          <w:p>
            <w:pPr>
              <w:numPr>
                <w:ilvl w:val="0"/>
                <w:numId w:val="13"/>
              </w:numPr>
              <w:spacing w:before="0" w:after="60" w:line="252" w:lineRule="auto"/>
              <w:ind w:left="540" w:hanging="271"/>
            </w:pPr>
            <w:r>
              <w:rPr>
                <w:rFonts w:ascii="Segoe UI" w:hAnsi="Segoe UI"/>
                <w:color w:val="19322B"/>
                <w:sz w:val="21"/>
              </w:rPr>
              <w:t>Production-margin comparison</w:t>
            </w:r>
          </w:p>
          <w:p>
            <w:pPr>
              <w:numPr>
                <w:ilvl w:val="0"/>
                <w:numId w:val="13"/>
              </w:numPr>
              <w:spacing w:before="0" w:after="60" w:line="252" w:lineRule="auto"/>
              <w:ind w:left="540" w:hanging="271"/>
            </w:pPr>
            <w:r>
              <w:rPr>
                <w:rFonts w:ascii="Segoe UI" w:hAnsi="Segoe UI"/>
                <w:color w:val="19322B"/>
                <w:sz w:val="21"/>
              </w:rPr>
              <w:t>Completed-trip traveler portal navigation</w:t>
            </w:r>
          </w:p>
          <w:p>
            <w:pPr>
              <w:numPr>
                <w:ilvl w:val="0"/>
                <w:numId w:val="13"/>
              </w:numPr>
              <w:spacing w:before="0" w:after="60" w:line="252" w:lineRule="auto"/>
              <w:ind w:left="540" w:hanging="271"/>
            </w:pPr>
            <w:r>
              <w:rPr>
                <w:rFonts w:ascii="Segoe UI" w:hAnsi="Segoe UI"/>
                <w:color w:val="19322B"/>
                <w:sz w:val="21"/>
              </w:rPr>
              <w:t>Public trip journal before photos</w:t>
            </w:r>
          </w:p>
          <w:p>
            <w:pPr>
              <w:numPr>
                <w:ilvl w:val="0"/>
                <w:numId w:val="13"/>
              </w:numPr>
              <w:spacing w:before="0" w:after="60" w:line="252" w:lineRule="auto"/>
              <w:ind w:left="540" w:hanging="271"/>
            </w:pPr>
            <w:r>
              <w:rPr>
                <w:rFonts w:ascii="Segoe UI" w:hAnsi="Segoe UI"/>
                <w:color w:val="19322B"/>
                <w:sz w:val="21"/>
              </w:rPr>
              <w:t>Revision history</w:t>
            </w:r>
          </w:p>
        </w:tc>
      </w:tr>
    </w:tbl>
    <w:p>
      <w:pPr>
        <w:pStyle w:val="Heading1"/>
        <w:pageBreakBefore/>
      </w:pPr>
      <w:r>
        <w:rPr>
          <w:rFonts w:ascii="Georgia" w:hAnsi="Georgia"/>
          <w:b/>
          <w:color w:val="173F35"/>
          <w:sz w:val="32"/>
        </w:rPr>
        <w:t>Live public questions and portal knowledge tools</w:t>
      </w:r>
    </w:p>
    <w:p>
      <w:r>
        <w:rPr>
          <w:rFonts w:ascii="Segoe UI" w:hAnsi="Segoe UI"/>
          <w:color w:val="19322B"/>
          <w:sz w:val="22"/>
        </w:rPr>
        <w:t>The public /faq/ page uses the shared site header and footer exactly once. Use a soft forest-and-gold introduction, a cream search panel, labeled 48px controls, and stacked paper answer cards with reviewed or essential badges and source links. Hide zero popularity counts, wrap filters on phones, and keep the complete privacy notice in an accessible details disclosure. faq/faq.css uses shared palette tokens; preserve visible keyboard focus and prevent horizontal overflow.</w:t>
      </w:r>
    </w:p>
    <w:p>
      <w:r>
        <w:rPr>
          <w:rFonts w:ascii="Segoe UI" w:hAnsi="Segoe UI"/>
          <w:color w:val="19322B"/>
          <w:sz w:val="22"/>
        </w:rPr>
        <w:t>The Knowledge &amp; FAQ review queue and source list use labeled native checkboxes, a Select all visible checkbox with an indeterminate state, and an Approve checked button showing the selected count. Already approved records have no selection checkbox. Disable approval when nothing is selected. Filtering sources clears hidden selections. Wrap controls on narrow screens and retain the shared paper, ink and line palette. Confirm the complete review before a batch; show progress, successful approval count and individual failures. Source visibility and FAQ publication remain separate from approval.</w:t>
      </w:r>
    </w:p>
    <w:p>
      <w:r>
        <w:rPr>
          <w:rFonts w:ascii="Segoe UI" w:hAnsi="Segoe UI"/>
          <w:color w:val="19322B"/>
          <w:sz w:val="22"/>
        </w:rPr>
        <w:t>Public pages use small circular “?” buttons inside content cards, photos and videos, plus a circular page launcher. Never insert these controls as siblings in a grid. For a collapsible details tile, place the question button inside its summary so it remains visible when closed and open; opening the assistant must preserve the disclosure state. Keep existing cards, columns and spacing intact; position the icons at the item’s upper right. Hover and keyboard focus show a small tooltip explaining that clicking opens an interactive question panel. Give each icon a descriptive accessible name, visible focus ring, and sufficient contrast. Tooltips must escape clipped card boundaries and follow their focused control during scrolling.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18, 2026 — Version 4.55.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4.54.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4.52. Added compact question-mark icons with hover/focus hints, preserved card grids, and documented original public content search.</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