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4.8.1</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memories and public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Devotional day navigation</w:t>
      </w:r>
    </w:p>
    <w:p>
      <w:pPr>
        <w:numPr>
          <w:ilvl w:val="0"/>
          <w:numId w:val="13"/>
        </w:numPr>
        <w:spacing w:before="0" w:after="40" w:line="240" w:lineRule="auto"/>
        <w:ind w:left="540" w:hanging="271"/>
      </w:pPr>
      <w:r>
        <w:rPr>
          <w:rFonts w:ascii="Segoe UI" w:hAnsi="Segoe UI"/>
          <w:color w:val="19322B"/>
          <w:sz w:val="21"/>
        </w:rPr>
        <w:t>Traveler study formatting</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Shared trip password display</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funding and bulk updates</w:t>
      </w:r>
    </w:p>
    <w:p>
      <w:pPr>
        <w:numPr>
          <w:ilvl w:val="0"/>
          <w:numId w:val="13"/>
        </w:numPr>
        <w:spacing w:before="0" w:after="40" w:line="240" w:lineRule="auto"/>
        <w:ind w:left="540" w:hanging="271"/>
      </w:pPr>
      <w:r>
        <w:rPr>
          <w:rFonts w:ascii="Segoe UI" w:hAnsi="Segoe UI"/>
          <w:color w:val="19322B"/>
          <w:sz w:val="21"/>
        </w:rPr>
        <w:t>Shared HS and CSM accounts</w:t>
      </w:r>
    </w:p>
    <w:p>
      <w:pPr>
        <w:numPr>
          <w:ilvl w:val="0"/>
          <w:numId w:val="13"/>
        </w:numPr>
        <w:spacing w:before="0" w:after="40" w:line="240" w:lineRule="auto"/>
        <w:ind w:left="540" w:hanging="271"/>
      </w:pPr>
      <w:r>
        <w:rPr>
          <w:rFonts w:ascii="Segoe UI" w:hAnsi="Segoe UI"/>
          <w:color w:val="19322B"/>
          <w:sz w:val="21"/>
        </w:rPr>
        <w:t>Donation allocations</w:t>
      </w:r>
    </w:p>
    <w:p>
      <w:pPr>
        <w:numPr>
          <w:ilvl w:val="0"/>
          <w:numId w:val="13"/>
        </w:numPr>
        <w:spacing w:before="0" w:after="40" w:line="240" w:lineRule="auto"/>
        <w:ind w:left="540" w:hanging="271"/>
      </w:pPr>
      <w:r>
        <w:rPr>
          <w:rFonts w:ascii="Segoe UI" w:hAnsi="Segoe UI"/>
          <w:color w:val="19322B"/>
          <w:sz w:val="21"/>
        </w:rPr>
        <w:t>Individual MMT accounts and phone storage</w:t>
      </w:r>
    </w:p>
    <w:p>
      <w:pPr>
        <w:numPr>
          <w:ilvl w:val="0"/>
          <w:numId w:val="13"/>
        </w:numPr>
        <w:spacing w:before="0" w:after="40" w:line="240" w:lineRule="auto"/>
        <w:ind w:left="540" w:hanging="271"/>
      </w:pPr>
      <w:r>
        <w:rPr>
          <w:rFonts w:ascii="Segoe UI" w:hAnsi="Segoe UI"/>
          <w:color w:val="19322B"/>
          <w:sz w:val="21"/>
        </w:rPr>
        <w:t>Managed public destinations</w:t>
      </w:r>
    </w:p>
    <w:p>
      <w:pPr>
        <w:numPr>
          <w:ilvl w:val="0"/>
          <w:numId w:val="13"/>
        </w:numPr>
        <w:spacing w:before="0" w:after="40" w:line="240" w:lineRule="auto"/>
        <w:ind w:left="540" w:hanging="271"/>
      </w:pPr>
      <w:r>
        <w:rPr>
          <w:rFonts w:ascii="Segoe UI" w:hAnsi="Segoe UI"/>
          <w:color w:val="19322B"/>
          <w:sz w:val="21"/>
        </w:rPr>
        <w:t>Purpose and operating rules</w:t>
      </w:r>
    </w:p>
    <w:p>
      <w:pPr>
        <w:numPr>
          <w:ilvl w:val="0"/>
          <w:numId w:val="13"/>
        </w:numPr>
        <w:spacing w:before="0" w:after="40" w:line="240" w:lineRule="auto"/>
        <w:ind w:left="540" w:hanging="271"/>
      </w:pPr>
      <w:r>
        <w:rPr>
          <w:rFonts w:ascii="Segoe UI" w:hAnsi="Segoe UI"/>
          <w:color w:val="19322B"/>
          <w:sz w:val="21"/>
        </w:rPr>
        <w:t>System overview</w:t>
      </w:r>
    </w:p>
    <w:p>
      <w:pPr>
        <w:numPr>
          <w:ilvl w:val="0"/>
          <w:numId w:val="13"/>
        </w:numPr>
        <w:spacing w:before="0" w:after="40" w:line="240" w:lineRule="auto"/>
        <w:ind w:left="540" w:hanging="271"/>
      </w:pPr>
      <w:r>
        <w:rPr>
          <w:rFonts w:ascii="Segoe UI" w:hAnsi="Segoe UI"/>
          <w:color w:val="19322B"/>
          <w:sz w:val="21"/>
        </w:rPr>
        <w:t>Important locations</w:t>
      </w:r>
    </w:p>
    <w:p>
      <w:pPr>
        <w:numPr>
          <w:ilvl w:val="0"/>
          <w:numId w:val="13"/>
        </w:numPr>
        <w:spacing w:before="0" w:after="40" w:line="240" w:lineRule="auto"/>
        <w:ind w:left="540" w:hanging="271"/>
      </w:pPr>
      <w:r>
        <w:rPr>
          <w:rFonts w:ascii="Segoe UI" w:hAnsi="Segoe UI"/>
          <w:color w:val="19322B"/>
          <w:sz w:val="21"/>
        </w:rPr>
        <w:t>Public route inventory</w:t>
      </w:r>
    </w:p>
    <w:p>
      <w:pPr>
        <w:numPr>
          <w:ilvl w:val="0"/>
          <w:numId w:val="13"/>
        </w:numPr>
        <w:spacing w:before="0" w:after="40" w:line="240" w:lineRule="auto"/>
        <w:ind w:left="540" w:hanging="271"/>
      </w:pPr>
      <w:r>
        <w:rPr>
          <w:rFonts w:ascii="Segoe UI" w:hAnsi="Segoe UI"/>
          <w:color w:val="19322B"/>
          <w:sz w:val="21"/>
        </w:rPr>
        <w:t>Shared frontend architecture</w:t>
      </w:r>
    </w:p>
    <w:p>
      <w:pPr>
        <w:numPr>
          <w:ilvl w:val="0"/>
          <w:numId w:val="13"/>
        </w:numPr>
        <w:spacing w:before="0" w:after="40" w:line="240" w:lineRule="auto"/>
        <w:ind w:left="540" w:hanging="271"/>
      </w:pPr>
      <w:r>
        <w:rPr>
          <w:rFonts w:ascii="Segoe UI" w:hAnsi="Segoe UI"/>
          <w:color w:val="19322B"/>
          <w:sz w:val="21"/>
        </w:rPr>
        <w:t>Content and data files</w:t>
      </w:r>
    </w:p>
    <w:p>
      <w:pPr>
        <w:numPr>
          <w:ilvl w:val="0"/>
          <w:numId w:val="13"/>
        </w:numPr>
        <w:spacing w:before="0" w:after="40" w:line="240" w:lineRule="auto"/>
        <w:ind w:left="540" w:hanging="271"/>
      </w:pPr>
      <w:r>
        <w:rPr>
          <w:rFonts w:ascii="Segoe UI" w:hAnsi="Segoe UI"/>
          <w:color w:val="19322B"/>
          <w:sz w:val="21"/>
        </w:rPr>
        <w:t>Interest form and response portal</w:t>
      </w:r>
    </w:p>
    <w:p>
      <w:pPr>
        <w:numPr>
          <w:ilvl w:val="0"/>
          <w:numId w:val="13"/>
        </w:numPr>
        <w:spacing w:before="0" w:after="40" w:line="240" w:lineRule="auto"/>
        <w:ind w:left="540" w:hanging="271"/>
      </w:pPr>
      <w:r>
        <w:rPr>
          <w:rFonts w:ascii="Segoe UI" w:hAnsi="Segoe UI"/>
          <w:color w:val="19322B"/>
          <w:sz w:val="21"/>
        </w:rPr>
        <w:t>Giving and PayPal</w:t>
      </w:r>
    </w:p>
    <w:p>
      <w:pPr>
        <w:numPr>
          <w:ilvl w:val="0"/>
          <w:numId w:val="13"/>
        </w:numPr>
        <w:spacing w:before="0" w:after="40" w:line="240" w:lineRule="auto"/>
        <w:ind w:left="540" w:hanging="271"/>
      </w:pPr>
      <w:r>
        <w:rPr>
          <w:rFonts w:ascii="Segoe UI" w:hAnsi="Segoe UI"/>
          <w:color w:val="19322B"/>
          <w:sz w:val="21"/>
        </w:rPr>
        <w:t>Scheduling</w:t>
      </w:r>
    </w:p>
    <w:p>
      <w:pPr>
        <w:numPr>
          <w:ilvl w:val="0"/>
          <w:numId w:val="13"/>
        </w:numPr>
        <w:spacing w:before="0" w:after="40" w:line="240" w:lineRule="auto"/>
        <w:ind w:left="540" w:hanging="271"/>
      </w:pPr>
      <w:r>
        <w:rPr>
          <w:rFonts w:ascii="Segoe UI" w:hAnsi="Segoe UI"/>
          <w:color w:val="19322B"/>
          <w:sz w:val="21"/>
        </w:rPr>
        <w:t>Local development</w:t>
      </w:r>
    </w:p>
    <w:p>
      <w:pPr>
        <w:numPr>
          <w:ilvl w:val="0"/>
          <w:numId w:val="13"/>
        </w:numPr>
        <w:spacing w:before="0" w:after="40" w:line="240" w:lineRule="auto"/>
        <w:ind w:left="540" w:hanging="271"/>
      </w:pPr>
      <w:r>
        <w:rPr>
          <w:rFonts w:ascii="Segoe UI" w:hAnsi="Segoe UI"/>
          <w:color w:val="19322B"/>
          <w:sz w:val="21"/>
        </w:rPr>
        <w:t>Validation standards</w:t>
      </w:r>
    </w:p>
    <w:p>
      <w:pPr>
        <w:numPr>
          <w:ilvl w:val="0"/>
          <w:numId w:val="13"/>
        </w:numPr>
        <w:spacing w:before="0" w:after="40" w:line="240" w:lineRule="auto"/>
        <w:ind w:left="540" w:hanging="271"/>
      </w:pPr>
      <w:r>
        <w:rPr>
          <w:rFonts w:ascii="Segoe UI" w:hAnsi="Segoe UI"/>
          <w:color w:val="19322B"/>
          <w:sz w:val="21"/>
        </w:rPr>
        <w:t>Common change workflows</w:t>
      </w:r>
    </w:p>
    <w:p>
      <w:pPr>
        <w:numPr>
          <w:ilvl w:val="0"/>
          <w:numId w:val="13"/>
        </w:numPr>
        <w:spacing w:before="0" w:after="40" w:line="240" w:lineRule="auto"/>
        <w:ind w:left="540" w:hanging="271"/>
      </w:pPr>
      <w:r>
        <w:rPr>
          <w:rFonts w:ascii="Segoe UI" w:hAnsi="Segoe UI"/>
          <w:color w:val="19322B"/>
          <w:sz w:val="21"/>
        </w:rPr>
        <w:t>Security and privacy rules</w:t>
      </w:r>
    </w:p>
    <w:p>
      <w:pPr>
        <w:numPr>
          <w:ilvl w:val="0"/>
          <w:numId w:val="13"/>
        </w:numPr>
        <w:spacing w:before="0" w:after="40" w:line="240" w:lineRule="auto"/>
        <w:ind w:left="540" w:hanging="271"/>
      </w:pPr>
      <w:r>
        <w:rPr>
          <w:rFonts w:ascii="Segoe UI" w:hAnsi="Segoe UI"/>
          <w:color w:val="19322B"/>
          <w:sz w:val="21"/>
        </w:rPr>
        <w:t>Deployment boundaries</w:t>
      </w:r>
    </w:p>
    <w:p>
      <w:pPr>
        <w:numPr>
          <w:ilvl w:val="0"/>
          <w:numId w:val="13"/>
        </w:numPr>
        <w:spacing w:before="0" w:after="40" w:line="240" w:lineRule="auto"/>
        <w:ind w:left="540" w:hanging="271"/>
      </w:pPr>
      <w:r>
        <w:rPr>
          <w:rFonts w:ascii="Segoe UI" w:hAnsi="Segoe UI"/>
          <w:color w:val="19322B"/>
          <w:sz w:val="21"/>
        </w:rPr>
        <w:t>Documentation maintenance</w:t>
      </w:r>
    </w:p>
    <w:p>
      <w:pPr>
        <w:numPr>
          <w:ilvl w:val="0"/>
          <w:numId w:val="13"/>
        </w:numPr>
        <w:spacing w:before="0" w:after="40" w:line="240" w:lineRule="auto"/>
        <w:ind w:left="540" w:hanging="271"/>
      </w:pPr>
      <w:r>
        <w:rPr>
          <w:rFonts w:ascii="Segoe UI" w:hAnsi="Segoe UI"/>
          <w:color w:val="19322B"/>
          <w:sz w:val="21"/>
        </w:rPr>
        <w:t>Handoff checklist</w:t>
      </w:r>
    </w:p>
    <w:p>
      <w:pPr>
        <w:numPr>
          <w:ilvl w:val="0"/>
          <w:numId w:val="13"/>
        </w:numPr>
        <w:spacing w:before="0" w:after="40" w:line="240" w:lineRule="auto"/>
        <w:ind w:left="540" w:hanging="271"/>
      </w:pPr>
      <w:r>
        <w:rPr>
          <w:rFonts w:ascii="Segoe UI" w:hAnsi="Segoe UI"/>
          <w:color w:val="19322B"/>
          <w:sz w:val="21"/>
        </w:rPr>
        <w:t>Ministry Management workspace</w:t>
      </w:r>
    </w:p>
    <w:p>
      <w:pPr>
        <w:numPr>
          <w:ilvl w:val="0"/>
          <w:numId w:val="13"/>
        </w:numPr>
        <w:spacing w:before="0" w:after="40" w:line="240" w:lineRule="auto"/>
        <w:ind w:left="540" w:hanging="271"/>
      </w:pPr>
      <w:r>
        <w:rPr>
          <w:rFonts w:ascii="Segoe UI" w:hAnsi="Segoe UI"/>
          <w:color w:val="19322B"/>
          <w:sz w:val="21"/>
        </w:rPr>
        <w:t>Expanded bookkeeping workspace</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photo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