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4.44</w:t>
      </w:r>
      <w:r>
        <w:rPr>
          <w:rFonts w:ascii="Segoe UI" w:hAnsi="Segoe UI"/>
          <w:color w:val="D99B42"/>
          <w:sz w:val="20"/>
        </w:rPr>
        <w:t xml:space="preserve">  •  </w:t>
      </w:r>
      <w:r>
        <w:rPr>
          <w:rFonts w:ascii="Segoe UI" w:hAnsi="Segoe UI"/>
          <w:color w:val="60726B"/>
          <w:sz w:val="20"/>
        </w:rPr>
        <w:t>Last reviewed October 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ministry partner recognition</w:t>
      </w:r>
    </w:p>
    <w:p>
      <w:pPr>
        <w:numPr>
          <w:ilvl w:val="0"/>
          <w:numId w:val="13"/>
        </w:numPr>
        <w:spacing w:before="0" w:after="0" w:line="220" w:lineRule="exact"/>
        <w:ind w:left="540" w:hanging="271"/>
      </w:pPr>
      <w:r>
        <w:rPr>
          <w:rFonts w:ascii="Segoe UI" w:hAnsi="Segoe UI"/>
          <w:color w:val="19322B"/>
          <w:sz w:val="20"/>
        </w:rPr>
        <w:t>Ministry home layout</w:t>
      </w:r>
    </w:p>
    <w:p>
      <w:pPr>
        <w:numPr>
          <w:ilvl w:val="0"/>
          <w:numId w:val="13"/>
        </w:numPr>
        <w:spacing w:before="0" w:after="0" w:line="220" w:lineRule="exact"/>
        <w:ind w:left="540" w:hanging="271"/>
      </w:pPr>
      <w:r>
        <w:rPr>
          <w:rFonts w:ascii="Segoe UI" w:hAnsi="Segoe UI"/>
          <w:color w:val="19322B"/>
          <w:sz w:val="20"/>
        </w:rPr>
        <w:t>Payment inbox contact association</w:t>
      </w:r>
    </w:p>
    <w:p>
      <w:pPr>
        <w:numPr>
          <w:ilvl w:val="0"/>
          <w:numId w:val="13"/>
        </w:numPr>
        <w:spacing w:before="0" w:after="0" w:line="220" w:lineRule="exact"/>
        <w:ind w:left="540" w:hanging="271"/>
      </w:pPr>
      <w:r>
        <w:rPr>
          <w:rFonts w:ascii="Segoe UI" w:hAnsi="Segoe UI"/>
          <w:color w:val="19322B"/>
          <w:sz w:val="20"/>
        </w:rPr>
        <w:t>Inquiry follow-up controls</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Traveling trips and public follow-along</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Story preview presentation</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Book reading pages</w:t>
      </w:r>
    </w:p>
    <w:p>
      <w:pPr>
        <w:numPr>
          <w:ilvl w:val="0"/>
          <w:numId w:val="13"/>
        </w:numPr>
        <w:spacing w:before="0" w:after="0" w:line="220" w:lineRule="exact"/>
        <w:ind w:left="540" w:hanging="271"/>
      </w:pPr>
      <w:r>
        <w:rPr>
          <w:rFonts w:ascii="Segoe UI" w:hAnsi="Segoe UI"/>
          <w:color w:val="19322B"/>
          <w:sz w:val="20"/>
        </w:rPr>
        <w:t>Managed contact access categories</w:t>
      </w:r>
    </w:p>
    <w:p>
      <w:pPr>
        <w:numPr>
          <w:ilvl w:val="0"/>
          <w:numId w:val="13"/>
        </w:numPr>
        <w:spacing w:before="0" w:after="0" w:line="220" w:lineRule="exact"/>
        <w:ind w:left="540" w:hanging="271"/>
      </w:pPr>
      <w:r>
        <w:rPr>
          <w:rFonts w:ascii="Segoe UI" w:hAnsi="Segoe UI"/>
          <w:color w:val="19322B"/>
          <w:sz w:val="20"/>
        </w:rPr>
        <w:t>Three ways to serve in the local preview</w:t>
      </w:r>
    </w:p>
    <w:p>
      <w:pPr>
        <w:numPr>
          <w:ilvl w:val="0"/>
          <w:numId w:val="13"/>
        </w:numPr>
        <w:spacing w:before="0" w:after="0" w:line="220" w:lineRule="exact"/>
        <w:ind w:left="540" w:hanging="271"/>
      </w:pPr>
      <w:r>
        <w:rPr>
          <w:rFonts w:ascii="Segoe UI" w:hAnsi="Segoe UI"/>
          <w:color w:val="19322B"/>
          <w:sz w:val="20"/>
        </w:rPr>
        <w:t>Production-margin comparison</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