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4.40</w:t>
      </w:r>
      <w:r>
        <w:rPr>
          <w:rFonts w:ascii="Segoe UI" w:hAnsi="Segoe UI"/>
          <w:color w:val="D99B42"/>
          <w:sz w:val="20"/>
        </w:rPr>
        <w:t xml:space="preserve">  •  </w:t>
      </w:r>
      <w:r>
        <w:rPr>
          <w:rFonts w:ascii="Segoe UI" w:hAnsi="Segoe UI"/>
          <w:color w:val="60726B"/>
          <w:sz w:val="20"/>
        </w:rPr>
        <w:t>Last reviewed October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Isolated public story preview</w:t>
      </w:r>
    </w:p>
    <w:p>
      <w:pPr>
        <w:numPr>
          <w:ilvl w:val="0"/>
          <w:numId w:val="13"/>
        </w:numPr>
        <w:spacing w:before="0" w:after="0" w:line="220" w:lineRule="exact"/>
        <w:ind w:left="540" w:hanging="271"/>
      </w:pPr>
      <w:r>
        <w:rPr>
          <w:rFonts w:ascii="Segoe UI" w:hAnsi="Segoe UI"/>
          <w:color w:val="19322B"/>
          <w:sz w:val="20"/>
        </w:rPr>
        <w:t>Contact relationships and donor matching</w:t>
      </w:r>
    </w:p>
    <w:p>
      <w:pPr>
        <w:numPr>
          <w:ilvl w:val="0"/>
          <w:numId w:val="13"/>
        </w:numPr>
        <w:spacing w:before="0" w:after="0" w:line="220" w:lineRule="exact"/>
        <w:ind w:left="540" w:hanging="271"/>
      </w:pPr>
      <w:r>
        <w:rPr>
          <w:rFonts w:ascii="Segoe UI" w:hAnsi="Segoe UI"/>
          <w:color w:val="19322B"/>
          <w:sz w:val="20"/>
        </w:rPr>
        <w:t>Local book reader</w:t>
      </w:r>
    </w:p>
    <w:p>
      <w:pPr>
        <w:numPr>
          <w:ilvl w:val="0"/>
          <w:numId w:val="13"/>
        </w:numPr>
        <w:spacing w:before="0" w:after="0" w:line="220" w:lineRule="exact"/>
        <w:ind w:left="540" w:hanging="271"/>
      </w:pPr>
      <w:r>
        <w:rPr>
          <w:rFonts w:ascii="Segoe UI" w:hAnsi="Segoe UI"/>
          <w:color w:val="19322B"/>
          <w:sz w:val="20"/>
        </w:rPr>
        <w:t>Portal account/contact associations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