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4.34</w:t>
      </w:r>
      <w:r>
        <w:rPr>
          <w:rFonts w:ascii="Segoe UI" w:hAnsi="Segoe UI"/>
          <w:color w:val="D99B42"/>
          <w:sz w:val="20"/>
        </w:rPr>
        <w:t xml:space="preserve">  •  </w:t>
      </w:r>
      <w:r>
        <w:rPr>
          <w:rFonts w:ascii="Segoe UI" w:hAnsi="Segoe UI"/>
          <w:color w:val="60726B"/>
          <w:sz w:val="20"/>
        </w:rPr>
        <w:t>Last reviewed October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Story preview presentation</w:t>
      </w:r>
    </w:p>
    <w:p>
      <w:pPr>
        <w:numPr>
          <w:ilvl w:val="0"/>
          <w:numId w:val="13"/>
        </w:numPr>
        <w:spacing w:before="0" w:after="0" w:line="220" w:lineRule="exact"/>
        <w:ind w:left="540" w:hanging="271"/>
      </w:pPr>
      <w:r>
        <w:rPr>
          <w:rFonts w:ascii="Segoe UI" w:hAnsi="Segoe UI"/>
          <w:color w:val="19322B"/>
          <w:sz w:val="20"/>
        </w:rPr>
        <w:t>Related contact card</w:t>
      </w:r>
    </w:p>
    <w:p>
      <w:pPr>
        <w:numPr>
          <w:ilvl w:val="0"/>
          <w:numId w:val="13"/>
        </w:numPr>
        <w:spacing w:before="0" w:after="0" w:line="220" w:lineRule="exact"/>
        <w:ind w:left="540" w:hanging="271"/>
      </w:pPr>
      <w:r>
        <w:rPr>
          <w:rFonts w:ascii="Segoe UI" w:hAnsi="Segoe UI"/>
          <w:color w:val="19322B"/>
          <w:sz w:val="20"/>
        </w:rPr>
        <w:t>Book reading pages</w:t>
      </w:r>
    </w:p>
    <w:p>
      <w:pPr>
        <w:numPr>
          <w:ilvl w:val="0"/>
          <w:numId w:val="13"/>
        </w:numPr>
        <w:spacing w:before="0" w:after="0" w:line="220" w:lineRule="exact"/>
        <w:ind w:left="540" w:hanging="271"/>
      </w:pPr>
      <w:r>
        <w:rPr>
          <w:rFonts w:ascii="Segoe UI" w:hAnsi="Segoe UI"/>
          <w:color w:val="19322B"/>
          <w:sz w:val="20"/>
        </w:rPr>
        <w:t>Managed contact access categories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