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3.3</w:t>
      </w:r>
      <w:r>
        <w:rPr>
          <w:rFonts w:ascii="Segoe UI" w:hAnsi="Segoe UI"/>
          <w:color w:val="D99B42"/>
          <w:sz w:val="20"/>
        </w:rPr>
        <w:t xml:space="preserve">  •  </w:t>
      </w:r>
      <w:r>
        <w:rPr>
          <w:rFonts w:ascii="Segoe UI" w:hAnsi="Segoe UI"/>
          <w:color w:val="60726B"/>
          <w:sz w:val="20"/>
        </w:rPr>
        <w:t>Last reviewed September 6,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w:t>
      </w:r>
    </w:p>
    <w:p>
      <w:pPr>
        <w:numPr>
          <w:ilvl w:val="0"/>
          <w:numId w:val="13"/>
        </w:numPr>
        <w:spacing w:before="0" w:after="80" w:line="300" w:lineRule="auto"/>
        <w:ind w:left="540" w:hanging="271"/>
      </w:pPr>
      <w:r>
        <w:rPr>
          <w:rFonts w:ascii="Segoe UI" w:hAnsi="Segoe UI"/>
          <w:color w:val="19322B"/>
          <w:sz w:val="21"/>
        </w:rPr>
        <w:t>Canonical design sources</w:t>
      </w:r>
    </w:p>
    <w:p>
      <w:pPr>
        <w:numPr>
          <w:ilvl w:val="0"/>
          <w:numId w:val="13"/>
        </w:numPr>
        <w:spacing w:before="0" w:after="80" w:line="300" w:lineRule="auto"/>
        <w:ind w:left="540" w:hanging="271"/>
      </w:pPr>
      <w:r>
        <w:rPr>
          <w:rFonts w:ascii="Segoe UI" w:hAnsi="Segoe UI"/>
          <w:color w:val="19322B"/>
          <w:sz w:val="21"/>
        </w:rPr>
        <w:t>Brand foundation</w:t>
      </w:r>
    </w:p>
    <w:p>
      <w:pPr>
        <w:numPr>
          <w:ilvl w:val="0"/>
          <w:numId w:val="13"/>
        </w:numPr>
        <w:spacing w:before="0" w:after="80" w:line="300" w:lineRule="auto"/>
        <w:ind w:left="540" w:hanging="271"/>
      </w:pPr>
      <w:r>
        <w:rPr>
          <w:rFonts w:ascii="Segoe UI" w:hAnsi="Segoe UI"/>
          <w:color w:val="19322B"/>
          <w:sz w:val="21"/>
        </w:rPr>
        <w:t>Logo system</w:t>
      </w:r>
    </w:p>
    <w:p>
      <w:pPr>
        <w:numPr>
          <w:ilvl w:val="0"/>
          <w:numId w:val="13"/>
        </w:numPr>
        <w:spacing w:before="0" w:after="80" w:line="300" w:lineRule="auto"/>
        <w:ind w:left="540" w:hanging="271"/>
      </w:pPr>
      <w:r>
        <w:rPr>
          <w:rFonts w:ascii="Segoe UI" w:hAnsi="Segoe UI"/>
          <w:color w:val="19322B"/>
          <w:sz w:val="21"/>
        </w:rPr>
        <w:t>Color system</w:t>
      </w:r>
    </w:p>
    <w:p>
      <w:pPr>
        <w:numPr>
          <w:ilvl w:val="0"/>
          <w:numId w:val="13"/>
        </w:numPr>
        <w:spacing w:before="0" w:after="80" w:line="300" w:lineRule="auto"/>
        <w:ind w:left="540" w:hanging="271"/>
      </w:pPr>
      <w:r>
        <w:rPr>
          <w:rFonts w:ascii="Segoe UI" w:hAnsi="Segoe UI"/>
          <w:color w:val="19322B"/>
          <w:sz w:val="21"/>
        </w:rPr>
        <w:t>Typography</w:t>
      </w:r>
    </w:p>
    <w:p>
      <w:pPr>
        <w:numPr>
          <w:ilvl w:val="0"/>
          <w:numId w:val="13"/>
        </w:numPr>
        <w:spacing w:before="0" w:after="80" w:line="300" w:lineRule="auto"/>
        <w:ind w:left="540" w:hanging="271"/>
      </w:pPr>
      <w:r>
        <w:rPr>
          <w:rFonts w:ascii="Segoe UI" w:hAnsi="Segoe UI"/>
          <w:color w:val="19322B"/>
          <w:sz w:val="21"/>
        </w:rPr>
        <w:t>Layout and spacing</w:t>
      </w:r>
    </w:p>
    <w:p>
      <w:pPr>
        <w:numPr>
          <w:ilvl w:val="0"/>
          <w:numId w:val="13"/>
        </w:numPr>
        <w:spacing w:before="0" w:after="80" w:line="300" w:lineRule="auto"/>
        <w:ind w:left="540" w:hanging="271"/>
      </w:pPr>
      <w:r>
        <w:rPr>
          <w:rFonts w:ascii="Segoe UI" w:hAnsi="Segoe UI"/>
          <w:color w:val="19322B"/>
          <w:sz w:val="21"/>
        </w:rPr>
        <w:t>Core components</w:t>
      </w:r>
    </w:p>
    <w:p>
      <w:pPr>
        <w:numPr>
          <w:ilvl w:val="0"/>
          <w:numId w:val="13"/>
        </w:numPr>
        <w:spacing w:before="0" w:after="80" w:line="300" w:lineRule="auto"/>
        <w:ind w:left="540" w:hanging="271"/>
      </w:pPr>
      <w:r>
        <w:rPr>
          <w:rFonts w:ascii="Segoe UI" w:hAnsi="Segoe UI"/>
          <w:color w:val="19322B"/>
          <w:sz w:val="21"/>
        </w:rPr>
        <w:t>Photography and media</w:t>
      </w:r>
    </w:p>
    <w:p>
      <w:pPr>
        <w:numPr>
          <w:ilvl w:val="0"/>
          <w:numId w:val="13"/>
        </w:numPr>
        <w:spacing w:before="0" w:after="80" w:line="300" w:lineRule="auto"/>
        <w:ind w:left="540" w:hanging="271"/>
      </w:pPr>
      <w:r>
        <w:rPr>
          <w:rFonts w:ascii="Segoe UI" w:hAnsi="Segoe UI"/>
          <w:color w:val="19322B"/>
          <w:sz w:val="21"/>
        </w:rPr>
        <w:t>Voice and content standards</w:t>
      </w:r>
    </w:p>
    <w:p>
      <w:pPr>
        <w:numPr>
          <w:ilvl w:val="0"/>
          <w:numId w:val="13"/>
        </w:numPr>
        <w:spacing w:before="0" w:after="80" w:line="300" w:lineRule="auto"/>
        <w:ind w:left="540" w:hanging="271"/>
      </w:pPr>
      <w:r>
        <w:rPr>
          <w:rFonts w:ascii="Segoe UI" w:hAnsi="Segoe UI"/>
          <w:color w:val="19322B"/>
          <w:sz w:val="21"/>
        </w:rPr>
        <w:t>Accessibility standards</w:t>
      </w:r>
    </w:p>
    <w:p>
      <w:pPr>
        <w:numPr>
          <w:ilvl w:val="0"/>
          <w:numId w:val="13"/>
        </w:numPr>
        <w:spacing w:before="0" w:after="80" w:line="300" w:lineRule="auto"/>
        <w:ind w:left="540" w:hanging="271"/>
      </w:pPr>
      <w:r>
        <w:rPr>
          <w:rFonts w:ascii="Segoe UI" w:hAnsi="Segoe UI"/>
          <w:color w:val="19322B"/>
          <w:sz w:val="21"/>
        </w:rPr>
        <w:t>Motion standards</w:t>
      </w:r>
    </w:p>
    <w:p>
      <w:pPr>
        <w:numPr>
          <w:ilvl w:val="0"/>
          <w:numId w:val="13"/>
        </w:numPr>
        <w:spacing w:before="0" w:after="80" w:line="300" w:lineRule="auto"/>
        <w:ind w:left="540" w:hanging="271"/>
      </w:pPr>
      <w:r>
        <w:rPr>
          <w:rFonts w:ascii="Segoe UI" w:hAnsi="Segoe UI"/>
          <w:color w:val="19322B"/>
          <w:sz w:val="21"/>
        </w:rPr>
        <w:t>New page checklist</w:t>
      </w:r>
    </w:p>
    <w:p>
      <w:pPr>
        <w:numPr>
          <w:ilvl w:val="0"/>
          <w:numId w:val="13"/>
        </w:numPr>
        <w:spacing w:before="0" w:after="80" w:line="300" w:lineRule="auto"/>
        <w:ind w:left="540" w:hanging="271"/>
      </w:pPr>
      <w:r>
        <w:rPr>
          <w:rFonts w:ascii="Segoe UI" w:hAnsi="Segoe UI"/>
          <w:color w:val="19322B"/>
          <w:sz w:val="21"/>
        </w:rPr>
        <w:t>Governance</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both fields, hide the save action, and expose one explicit </w:t>
      </w:r>
      <w:r>
        <w:rPr>
          <w:rFonts w:ascii="Segoe UI" w:hAnsi="Segoe UI"/>
          <w:b/>
          <w:color w:val="19322B"/>
          <w:sz w:val="22"/>
        </w:rPr>
        <w:t>Unlock credentials</w:t>
      </w:r>
      <w:r>
        <w:rPr>
          <w:rFonts w:ascii="Segoe UI" w:hAnsi="Segoe UI"/>
          <w:color w:val="19322B"/>
          <w:sz w:val="22"/>
        </w:rPr>
        <w:t xml:space="preserve"> action. Unlocking requires entry of a new password; saving revokes prior traveler sessions and returns the card to its locked state.</w:t>
      </w:r>
    </w:p>
    <w:p>
      <w:pPr>
        <w:keepLines/>
        <w:numPr>
          <w:ilvl w:val="0"/>
          <w:numId w:val="10"/>
        </w:numPr>
        <w:spacing w:before="0" w:after="80" w:line="300" w:lineRule="auto"/>
        <w:ind w:left="540" w:hanging="271"/>
      </w:pPr>
      <w:r>
        <w:rPr>
          <w:rFonts w:ascii="Segoe UI" w:hAnsi="Segoe UI"/>
          <w:color w:val="19322B"/>
          <w:sz w:val="22"/>
        </w:rPr>
        <w:t>Offer a spreadsheet-import callout wherever administrators manage trip content, budgets, accounts, payments, support, or invitations. The modal must lead with a downloadable formatted workbook, require a preview before commit, show row-by-row Ready, Already loaded, Conflict, and Needs attention states,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longer cinematic motion is limited to the optional first-visit invitation.</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