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2.1</w:t>
      </w:r>
      <w:r>
        <w:rPr>
          <w:rFonts w:ascii="Segoe UI" w:hAnsi="Segoe UI"/>
          <w:color w:val="D99B42"/>
          <w:sz w:val="20"/>
        </w:rPr>
        <w:t xml:space="preserve">  •  </w:t>
      </w:r>
      <w:r>
        <w:rPr>
          <w:rFonts w:ascii="Segoe UI" w:hAnsi="Segoe UI"/>
          <w:color w:val="60726B"/>
          <w:sz w:val="20"/>
        </w:rPr>
        <w:t>Last reviewed August 30,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to a different D1 database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r>
      <w:tr>
        <w:trPr>
          <w:cantSplit/>
        </w:trPr>
        <w:tc>
          <w:tcPr>
            <w:tcW w:type="dxa" w:w="2100"/>
            <w:vAlign w:val="center"/>
          </w:tcPr>
          <w:p>
            <w:pPr>
              <w:spacing w:before="0" w:after="30" w:line="240" w:lineRule="auto"/>
            </w:pPr>
            <w:r>
              <w:rPr>
                <w:rFonts w:ascii="Segoe UI" w:hAnsi="Segoe UI"/>
                <w:color w:val="19322B"/>
                <w:sz w:val="16"/>
              </w:rPr>
              <w:t>Test</w:t>
            </w:r>
          </w:p>
        </w:tc>
        <w:tc>
          <w:tcPr>
            <w:tcW w:type="dxa" w:w="2500"/>
            <w:vAlign w:val="center"/>
          </w:tcPr>
          <w:p>
            <w:pPr>
              <w:spacing w:before="0" w:after="30" w:line="240" w:lineRule="auto"/>
            </w:pPr>
            <w:r>
              <w:rPr>
                <w:rFonts w:ascii="Consolas" w:hAnsi="Consolas"/>
                <w:color w:val="173F35"/>
                <w:sz w:val="17"/>
                <w:shd w:fill="EDF5F1"/>
              </w:rPr>
              <w:t>hope-sojourns-interest-test</w:t>
            </w:r>
          </w:p>
        </w:tc>
        <w:tc>
          <w:tcPr>
            <w:tcW w:type="dxa" w:w="158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3180"/>
            <w:vAlign w:val="center"/>
          </w:tcPr>
          <w:p>
            <w:pPr>
              <w:spacing w:before="0" w:after="30" w:line="240" w:lineRule="auto"/>
            </w:pPr>
            <w:r>
              <w:rPr>
                <w:rFonts w:ascii="Consolas" w:hAnsi="Consolas"/>
                <w:color w:val="173F35"/>
                <w:sz w:val="17"/>
                <w:shd w:fill="EDF5F1"/>
              </w:rPr>
              <w:t>hope-sojourns-forms-test</w:t>
            </w:r>
          </w:p>
        </w:tc>
      </w:tr>
      <w:tr>
        <w:trPr>
          <w:cantSplit/>
        </w:trPr>
        <w:tc>
          <w:tcPr>
            <w:tcW w:type="dxa" w:w="2100"/>
            <w:vAlign w:val="center"/>
          </w:tcPr>
          <w:p>
            <w:pPr>
              <w:spacing w:before="0" w:after="30" w:line="240" w:lineRule="auto"/>
            </w:pPr>
            <w:r>
              <w:rPr>
                <w:rFonts w:ascii="Segoe UI" w:hAnsi="Segoe UI"/>
                <w:color w:val="19322B"/>
                <w:sz w:val="16"/>
              </w:rPr>
              <w:t>Production</w:t>
            </w:r>
          </w:p>
        </w:tc>
        <w:tc>
          <w:tcPr>
            <w:tcW w:type="dxa" w:w="2500"/>
            <w:vAlign w:val="center"/>
          </w:tcPr>
          <w:p>
            <w:pPr>
              <w:spacing w:before="0" w:after="30" w:line="240" w:lineRule="auto"/>
            </w:pPr>
            <w:r>
              <w:rPr>
                <w:rFonts w:ascii="Consolas" w:hAnsi="Consolas"/>
                <w:color w:val="173F35"/>
                <w:sz w:val="17"/>
                <w:shd w:fill="EDF5F1"/>
              </w:rPr>
              <w:t>hope-sojourns-interest-production</w:t>
            </w:r>
          </w:p>
        </w:tc>
        <w:tc>
          <w:tcPr>
            <w:tcW w:type="dxa" w:w="158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3180"/>
            <w:vAlign w:val="center"/>
          </w:tcPr>
          <w:p>
            <w:pPr>
              <w:spacing w:before="0" w:after="30" w:line="240" w:lineRule="auto"/>
            </w:pPr>
            <w:r>
              <w:rPr>
                <w:rFonts w:ascii="Consolas" w:hAnsi="Consolas"/>
                <w:color w:val="173F35"/>
                <w:sz w:val="17"/>
                <w:shd w:fill="EDF5F1"/>
              </w:rPr>
              <w:t>hope-sojourns-forms-production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or database IDs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backup, credential row, or user-data row into production. Production is initialized only by applying the numbered migrations to its empty database; the migrations seed the legitimate opportunity catalog but no contacts, submissions, teams, ministries, sessions, or administrator credentials.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Next/>
        <w:keepLines/>
        <w:numPr>
          <w:ilvl w:val="0"/>
          <w:numId w:val="15"/>
        </w:numPr>
        <w:spacing w:before="0" w:after="80" w:line="300" w:lineRule="auto"/>
        <w:ind w:left="540" w:hanging="271"/>
      </w:pPr>
      <w:r>
        <w:rPr>
          <w:rFonts w:ascii="Consolas" w:hAnsi="Consolas"/>
          <w:color w:val="173F35"/>
          <w:sz w:val="20"/>
          <w:shd w:fill="EDF5F1"/>
        </w:rPr>
        <w:t>0011_unified_ledger.sql</w:t>
      </w:r>
    </w:p>
    <w:p>
      <w:pPr>
        <w:keepLines/>
        <w:numPr>
          <w:ilvl w:val="0"/>
          <w:numId w:val="15"/>
        </w:numPr>
        <w:spacing w:before="0" w:after="80" w:line="300" w:lineRule="auto"/>
        <w:ind w:left="540" w:hanging="271"/>
      </w:pPr>
      <w:r>
        <w:rPr>
          <w:rFonts w:ascii="Consolas" w:hAnsi="Consolas"/>
          <w:color w:val="173F35"/>
          <w:sz w:val="20"/>
          <w:shd w:fill="EDF5F1"/>
        </w:rPr>
        <w:t>0012_ledger_entry_management.sql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while retaining its audit event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plus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Editing does not change the row's source or unique import key, and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Next/>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and deployment commands. Production launch order is: validate isolation, create or verify the production D1 database, apply production migrations, set production-only secrets, dry-run the production Worker, deploy it, publish the production Pages build, and verify both production hostnames. Test data must remain bound only to the test Worker and database.</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