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4.71</w:t>
      </w:r>
      <w:r>
        <w:rPr>
          <w:rFonts w:ascii="Segoe UI" w:hAnsi="Segoe UI"/>
          <w:color w:val="D99B42"/>
          <w:sz w:val="20"/>
        </w:rPr>
        <w:t xml:space="preserve">  •  </w:t>
      </w:r>
      <w:r>
        <w:rPr>
          <w:rFonts w:ascii="Segoe UI" w:hAnsi="Segoe UI"/>
          <w:color w:val="60726B"/>
          <w:sz w:val="20"/>
        </w:rPr>
        <w:t>Last reviewed October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Verified recovery email and concurrent login protection</w:t>
            </w:r>
          </w:p>
          <w:p>
            <w:pPr>
              <w:numPr>
                <w:ilvl w:val="0"/>
                <w:numId w:val="13"/>
              </w:numPr>
              <w:spacing w:before="0" w:after="0" w:line="240" w:lineRule="auto"/>
              <w:ind w:left="540" w:hanging="271"/>
            </w:pPr>
            <w:r>
              <w:rPr>
                <w:rFonts w:ascii="Segoe UI" w:hAnsi="Segoe UI"/>
                <w:color w:val="19322B"/>
                <w:sz w:val="20"/>
              </w:rPr>
              <w:t>Volunteer time and certified reports</w:t>
            </w:r>
          </w:p>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Verified recovery email and concurrent login protection</w:t>
      </w:r>
    </w:p>
    <w:p>
      <w:r>
        <w:rPr>
          <w:rFonts w:ascii="Segoe UI" w:hAnsi="Segoe UI"/>
          <w:color w:val="19322B"/>
          <w:sz w:val="22"/>
        </w:rPr>
        <w:t>Migration 0053_account_security.sql adds mmt_email_changes. account-email-change.ts stages a one-hour, hashed, single-use confirmation token bound to the active user's original email and revision. My profile requires the current password for an email change; reserveLoginAttempts also throttles this reauthentication. Send the old-address warning first, then the new-address verification link, and enable confirmation only after both provider acceptances. Test/capture mode and delivery failures fail closed with the recovery address unchanged. Never return confirmation links or raw tokens to the initiating session. The link opens /admin/access/#emailToken= and is stripped from history before an explicit POST to /public/account/verify-email. Confirmation atomically claims the token, updates only the recovery email, increments revision and revokes all shared sessions and old reset links. Password, access and volunteer grants are preserved. Stale, canceled, expired and replayed tokens fail. Ordinary profile/access updates never write the existing recovery-email column; administrator forms show it read-only. /admin/account/email-change DELETE cancels the signed-in user's own proposal with CSRF protection. Existing accounts change recovery email through the owner verification flow; administrator access changes remain separate.</w:t>
      </w:r>
    </w:p>
    <w:p>
      <w:r>
        <w:rPr>
          <w:rFonts w:ascii="Segoe UI" w:hAnsi="Segoe UI"/>
          <w:color w:val="19322B"/>
          <w:sz w:val="22"/>
        </w:rPr>
        <w:t>Login admission now reserves attempts atomically before password hashing, allowing five attempts per account and twenty per source IP in a fifteen-minute window across shared HS/CSM logins. Conditional upserts with RETURNING enforce the limits under concurrent requests. Successful authentication releases only its own matching-window reservations, retaining other failures. Blocked attempts return 429 with Retry-After; limits expire normally without extending under blocked requests. Session duration and inactivity behavior are deliberately unchanged. Validate using account-security.test.ts, the complete worker suite, and a local mocked-mail browser flow. Apply migration independently to test and production before releasing the Worker; do not send real confirmation email during smoke testing.</w:t>
      </w:r>
    </w:p>
    <w:p>
      <w:pPr>
        <w:pStyle w:val="Heading1"/>
      </w:pPr>
      <w:r>
        <w:rPr>
          <w:rFonts w:ascii="Georgia" w:hAnsi="Georgia"/>
          <w:b/>
          <w:color w:val="173F35"/>
          <w:sz w:val="32"/>
        </w:rPr>
        <w:t>Volunteer time and certified reports</w:t>
      </w:r>
    </w:p>
    <w:p>
      <w:r>
        <w:rPr>
          <w:rFonts w:ascii="Segoe UI" w:hAnsi="Segoe UI"/>
          <w:color w:val="19322B"/>
          <w:sz w:val="22"/>
        </w:rPr>
        <w:t>Migration 0052_volunteer_time.sql adds mmt_users.volunteer_access and isolated volunteer organizations, access assignments, preferences, monthly records, immutable report snapshots and delivery attempts. Apply the same migration independently to Test and Production before the new Worker. Do not copy business data or uploaded files between environments. Existing linked Volunteer contacts receive the entitlement; contact-category triggers keep it synchronized. Shared user saves preserve preexisting contact categories when volunteer_access is omitted.</w:t>
      </w:r>
    </w:p>
    <w:p>
      <w:r>
        <w:rPr>
          <w:rFonts w:ascii="Segoe UI" w:hAnsi="Segoe UI"/>
          <w:color w:val="19322B"/>
          <w:sz w:val="22"/>
        </w:rPr>
        <w:t>/admin/volunteer/ loads the shared styles and navigation, placing Volunteer Time immediately below Finances. The Worker dispatches /admin/volunteer and its child routes to volunteer.ts. Every request authenticates; writes require CSRF. Only HS Admin or Volunteer may enter. Nonadmins can target only their own identity. hasPortal permits volunteer-only HS login without hs_access; effectiveUser strips section permissions and local administrator authority when general HS access is disabled. CSM audiences cannot use these endpoints. Ordinary portal members remain unable to access Volunteer Time unless assigned Volunteer. The Volunteer User Only account preset blocks other HS sections, clears local/admin selections, leaves general HS access off and enables Volunteer. Contact matching and the one-use account setup process remain shared.</w:t>
      </w:r>
    </w:p>
    <w:p>
      <w:r>
        <w:rPr>
          <w:rFonts w:ascii="Segoe UI" w:hAnsi="Segoe UI"/>
          <w:color w:val="19322B"/>
          <w:sz w:val="22"/>
        </w:rPr>
        <w:t>Time uses integer tenths of an hour, never minutes. The browser adds a leading zero to fractional input on focusout and before save, so .5 becomes 0.5 without relaxing API precision validation. Monthly report fields remain editable; the send checkbox controls required organization selection and delivery intent, never whether a user can type. API inputs accept 0.1 through 24.0 with at most one decimal; dates must be real, nonfuture Chicago calendar dates in the selected month. A daily sum may not exceed 24.0. Monthly saves support multiple activities, up to 310 rows within 28–31 dates, with optimistic revision checks. Draft/returned records can be edited; submitted/approved records must first be returned or reopened. Reopening invalidates approval for future reports while preserving issued snapshots. Approval stores reviewer identity and timestamp. Returned records require a review note. Audit events preserve changes and decisions.</w:t>
      </w:r>
    </w:p>
    <w:p>
      <w:r>
        <w:rPr>
          <w:rFonts w:ascii="Segoe UI" w:hAnsi="Segoe UI"/>
          <w:color w:val="19322B"/>
          <w:sz w:val="22"/>
        </w:rPr>
        <w:t>Organizations can link to the existing ministries table without duplicating a ministry. New ministries enter the organization directory automatically; linked names and active state follow the ministry. Classification supports ministry partner, school, court, government, business and other. Admin assignments restrict service and report dropdowns and server validation. An empty assignment list allows all active organizations. Volunteers receive only permitted organization names/classifications, never the broader ministry/contact directory. Reporting organization and service organization are separate selections. Preserve inactive organizations and historical names rather than deleting them.</w:t>
      </w:r>
    </w:p>
    <w:p>
      <w:r>
        <w:rPr>
          <w:rFonts w:ascii="Segoe UI" w:hAnsi="Segoe UI"/>
          <w:color w:val="19322B"/>
          <w:sz w:val="22"/>
        </w:rPr>
        <w:t>Each recipient control has a distinct context-qualified name, ID and section-mmt-... email autocomplete token. The monthly, preferences and report forms use separate scopes. Collect recipients by data-report-recipient rather than a repeated name so browser autofill does not group independent email addresses.</w:t>
      </w:r>
    </w:p>
    <w:p>
      <w:r>
        <w:rPr>
          <w:rFonts w:ascii="Segoe UI" w:hAnsi="Segoe UI"/>
          <w:color w:val="19322B"/>
          <w:sz w:val="22"/>
        </w:rPr>
        <w:t>Monthly submission can request automatic delivery after approval. Reports otherwise issue from approved hours only, with daily detail, monthly subtotals, one-decimal totals, explicit date boundaries, organization, issue time, report ID and version. Calendar, fiscal, school and custom periods use the same validated inclusive range, limited to one year. Fiscal/school start dates are editable because recipient organizations differ. Reports preserve original HTML, plain text and data snapshots; report retries use client request identifiers and version uniqueness. Original report pages are authenticated, no-store/noindex, script-free and support browser Print / Save as PDF. This first edition does not attach a separate PDF to email.</w:t>
      </w:r>
    </w:p>
    <w:p>
      <w:r>
        <w:rPr>
          <w:rFonts w:ascii="Segoe UI" w:hAnsi="Segoe UI"/>
          <w:color w:val="19322B"/>
          <w:sz w:val="22"/>
        </w:rPr>
        <w:t>volunteer-report.ts reuses givingEmailFooter from gift-email-template.ts and the existing private branding/brent-kern-signature.png in each environment's RECEIPTS bucket. Never expose a public signature URL. Certified wording is emitted only for approved hours. Each of up to three recipients receives a separate message; CC uses the volunteer's account email and admin@hopesojourns.com, deduplicating against To. The immutable issued signature and report text are retained on resends. The signature must be configured before a certified report can issue.</w:t>
      </w:r>
    </w:p>
    <w:p>
      <w:r>
        <w:rPr>
          <w:rFonts w:ascii="Segoe UI" w:hAnsi="Segoe UI"/>
          <w:color w:val="19322B"/>
          <w:sz w:val="22"/>
        </w:rPr>
        <w:t>Production delivery uses the existing Resend configuration and stable per-attempt idempotency keys. Persist payload before sending, claim each delivery atomically and distinguish provider acceptance from confirmed inbox delivery. Timeout state is uncertain; retry the same payload/key within 23 hours. After that window, verify with the provider before another attempt. The administrator-only delivery resolve action records provider verification and a required note; confirmed unsent attempts are retained as verified_not_sent and receive a fresh, separate retry attempt. Resend refuses unresolved attempts so it cannot create duplicate deliveries. Test captures payloads without calling the provider. Reports/delivery history show captured, accepted, failed or uncertain state. Do not turn on Test live email as part of release.</w:t>
      </w:r>
    </w:p>
    <w:p>
      <w:r>
        <w:rPr>
          <w:rFonts w:ascii="Segoe UI" w:hAnsi="Segoe UI"/>
          <w:color w:val="19322B"/>
          <w:sz w:val="22"/>
        </w:rPr>
        <w:t>The workspace retains selected volunteer/month in sessionStorage scoped by signed-in identity; only administrators can restore another volunteer selection. It stores navigation context only, never service data. The local launcher tools/launch-volunteer-local.cjs opens .tmp/volunteer-local.sqlite through the test fixture’s optional persistent database path and migration ledger. New local preview sample identities are seeded only when missing; sessions are renewed without resetting service records. The default automated fixture remains in memory. The compatibility command node .tmp/launch-volunteer-local.cjs delegates to the durable launcher. Restart the old in-memory server to enable file-backed storage, recognizing that preexisting in-memory samples do not migrate automatically. Local responses use no-store. Regression checks cover browser refresh with the same volunteer/month and closing/reopening the file-backed database.</w:t>
      </w:r>
    </w:p>
    <w:p>
      <w:r>
        <w:rPr>
          <w:rFonts w:ascii="Segoe UI" w:hAnsi="Segoe UI"/>
          <w:color w:val="19322B"/>
          <w:sz w:val="22"/>
        </w:rPr>
        <w:t>Validate npm run check, test/volunteer.test.ts, shared account/contact/giving regression suites, browser review at 1440/768/390/320 pixels, and Check-Color-Palette.ps1. Release both Workers, static portal assets and identical private guide HTML after document render/reference checks. Keep preexisting working changes intact; never deploy a repository-root directory containing private documents or QA files. See Volunteer-Time-Implementation.md for the authorized scope and release checkpoint.</w:t>
      </w:r>
    </w:p>
    <w:p>
      <w:pPr>
        <w:pStyle w:val="Heading1"/>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20, 2026 - Version 4.71.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