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4.62</w:t>
      </w:r>
      <w:r>
        <w:rPr>
          <w:rFonts w:ascii="Segoe UI" w:hAnsi="Segoe UI"/>
          <w:color w:val="D99B42"/>
          <w:sz w:val="20"/>
        </w:rPr>
        <w:t xml:space="preserve">  •  </w:t>
      </w:r>
      <w:r>
        <w:rPr>
          <w:rFonts w:ascii="Segoe UI" w:hAnsi="Segoe UI"/>
          <w:color w:val="60726B"/>
          <w:sz w:val="20"/>
        </w:rPr>
        <w:t>Last reviewed October 20,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Verified account email changes</w:t>
            </w:r>
          </w:p>
          <w:p>
            <w:pPr>
              <w:numPr>
                <w:ilvl w:val="0"/>
                <w:numId w:val="13"/>
              </w:numPr>
              <w:spacing w:before="0" w:after="0" w:line="240" w:lineRule="auto"/>
              <w:ind w:left="540" w:hanging="271"/>
            </w:pPr>
            <w:r>
              <w:rPr>
                <w:rFonts w:ascii="Segoe UI" w:hAnsi="Segoe UI"/>
                <w:color w:val="19322B"/>
                <w:sz w:val="20"/>
              </w:rPr>
              <w:t>Volunteer Time workspace and service reports</w:t>
            </w:r>
          </w:p>
          <w:p>
            <w:pPr>
              <w:numPr>
                <w:ilvl w:val="0"/>
                <w:numId w:val="13"/>
              </w:numPr>
              <w:spacing w:before="0" w:after="0" w:line="240" w:lineRule="auto"/>
              <w:ind w:left="540" w:hanging="271"/>
            </w:pPr>
            <w:r>
              <w:rPr>
                <w:rFonts w:ascii="Segoe UI" w:hAnsi="Segoe UI"/>
                <w:color w:val="19322B"/>
                <w:sz w:val="20"/>
              </w:rPr>
              <w:t>Portal guide navigation</w:t>
            </w:r>
          </w:p>
          <w:p>
            <w:pPr>
              <w:numPr>
                <w:ilvl w:val="0"/>
                <w:numId w:val="13"/>
              </w:numPr>
              <w:spacing w:before="0" w:after="0" w:line="240" w:lineRule="auto"/>
              <w:ind w:left="540" w:hanging="271"/>
            </w:pPr>
            <w:r>
              <w:rPr>
                <w:rFonts w:ascii="Segoe UI" w:hAnsi="Segoe UI"/>
                <w:color w:val="19322B"/>
                <w:sz w:val="20"/>
              </w:rPr>
              <w:t>Live public questions and portal knowledge tools</w:t>
            </w:r>
          </w:p>
          <w:p>
            <w:pPr>
              <w:numPr>
                <w:ilvl w:val="0"/>
                <w:numId w:val="13"/>
              </w:numPr>
              <w:spacing w:before="0" w:after="0" w:line="240" w:lineRule="auto"/>
              <w:ind w:left="540" w:hanging="271"/>
            </w:pPr>
            <w:r>
              <w:rPr>
                <w:rFonts w:ascii="Segoe UI" w:hAnsi="Segoe UI"/>
                <w:color w:val="19322B"/>
                <w:sz w:val="20"/>
              </w:rPr>
              <w:t>Internship questions and knowledge preview</w:t>
            </w:r>
          </w:p>
          <w:p>
            <w:pPr>
              <w:numPr>
                <w:ilvl w:val="0"/>
                <w:numId w:val="13"/>
              </w:numPr>
              <w:spacing w:before="0" w:after="0" w:line="240" w:lineRule="auto"/>
              <w:ind w:left="540" w:hanging="271"/>
            </w:pPr>
            <w:r>
              <w:rPr>
                <w:rFonts w:ascii="Segoe UI" w:hAnsi="Segoe UI"/>
                <w:color w:val="19322B"/>
                <w:sz w:val="20"/>
              </w:rPr>
              <w:t>Mexico ministry partner recognition</w:t>
            </w:r>
          </w:p>
          <w:p>
            <w:pPr>
              <w:numPr>
                <w:ilvl w:val="0"/>
                <w:numId w:val="13"/>
              </w:numPr>
              <w:spacing w:before="0" w:after="0" w:line="240" w:lineRule="auto"/>
              <w:ind w:left="540" w:hanging="271"/>
            </w:pPr>
            <w:r>
              <w:rPr>
                <w:rFonts w:ascii="Segoe UI" w:hAnsi="Segoe UI"/>
                <w:color w:val="19322B"/>
                <w:sz w:val="20"/>
              </w:rPr>
              <w:t>Ministry home layout</w:t>
            </w:r>
          </w:p>
          <w:p>
            <w:pPr>
              <w:numPr>
                <w:ilvl w:val="0"/>
                <w:numId w:val="13"/>
              </w:numPr>
              <w:spacing w:before="0" w:after="0" w:line="240" w:lineRule="auto"/>
              <w:ind w:left="540" w:hanging="271"/>
            </w:pPr>
            <w:r>
              <w:rPr>
                <w:rFonts w:ascii="Segoe UI" w:hAnsi="Segoe UI"/>
                <w:color w:val="19322B"/>
                <w:sz w:val="20"/>
              </w:rPr>
              <w:t>Payment inbox contact association</w:t>
            </w:r>
          </w:p>
          <w:p>
            <w:pPr>
              <w:numPr>
                <w:ilvl w:val="0"/>
                <w:numId w:val="13"/>
              </w:numPr>
              <w:spacing w:before="0" w:after="0" w:line="240" w:lineRule="auto"/>
              <w:ind w:left="540" w:hanging="271"/>
            </w:pPr>
            <w:r>
              <w:rPr>
                <w:rFonts w:ascii="Segoe UI" w:hAnsi="Segoe UI"/>
                <w:color w:val="19322B"/>
                <w:sz w:val="20"/>
              </w:rPr>
              <w:t>Inquiry follow-up controls</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Contact column filters</w:t>
            </w:r>
          </w:p>
          <w:p>
            <w:pPr>
              <w:numPr>
                <w:ilvl w:val="0"/>
                <w:numId w:val="13"/>
              </w:numPr>
              <w:spacing w:before="0" w:after="0" w:line="240" w:lineRule="auto"/>
              <w:ind w:left="540" w:hanging="271"/>
            </w:pPr>
            <w:r>
              <w:rPr>
                <w:rFonts w:ascii="Segoe UI" w:hAnsi="Segoe UI"/>
                <w:color w:val="19322B"/>
                <w:sz w:val="20"/>
              </w:rPr>
              <w:t>Itinerary categories and traveler views</w:t>
            </w:r>
          </w:p>
          <w:p>
            <w:pPr>
              <w:numPr>
                <w:ilvl w:val="0"/>
                <w:numId w:val="13"/>
              </w:numPr>
              <w:spacing w:before="0" w:after="0" w:line="240" w:lineRule="auto"/>
              <w:ind w:left="540" w:hanging="271"/>
            </w:pPr>
            <w:r>
              <w:rPr>
                <w:rFonts w:ascii="Segoe UI" w:hAnsi="Segoe UI"/>
                <w:color w:val="19322B"/>
                <w:sz w:val="20"/>
              </w:rPr>
              <w:t>Scripture reference links and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Finance labels and expense review</w:t>
            </w:r>
          </w:p>
          <w:p>
            <w:pPr>
              <w:numPr>
                <w:ilvl w:val="0"/>
                <w:numId w:val="13"/>
              </w:numPr>
              <w:spacing w:before="0" w:after="0" w:line="240" w:lineRule="auto"/>
              <w:ind w:left="540" w:hanging="271"/>
            </w:pPr>
            <w:r>
              <w:rPr>
                <w:rFonts w:ascii="Segoe UI" w:hAnsi="Segoe UI"/>
                <w:color w:val="19322B"/>
                <w:sz w:val="20"/>
              </w:rPr>
              <w:t>Private user guide and portal footer</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Planning workspace and interested submission review</w:t>
            </w:r>
          </w:p>
          <w:p>
            <w:pPr>
              <w:numPr>
                <w:ilvl w:val="0"/>
                <w:numId w:val="13"/>
              </w:numPr>
              <w:spacing w:before="0" w:after="0" w:line="240" w:lineRule="auto"/>
              <w:ind w:left="540" w:hanging="271"/>
            </w:pPr>
            <w:r>
              <w:rPr>
                <w:rFonts w:ascii="Segoe UI" w:hAnsi="Segoe UI"/>
                <w:color w:val="19322B"/>
                <w:sz w:val="20"/>
              </w:rPr>
              <w:t>Trip photos and past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Collapsible devotional days</w:t>
            </w:r>
          </w:p>
          <w:p>
            <w:pPr>
              <w:numPr>
                <w:ilvl w:val="0"/>
                <w:numId w:val="13"/>
              </w:numPr>
              <w:spacing w:before="0" w:after="0" w:line="240" w:lineRule="auto"/>
              <w:ind w:left="540" w:hanging="271"/>
            </w:pPr>
            <w:r>
              <w:rPr>
                <w:rFonts w:ascii="Segoe UI" w:hAnsi="Segoe UI"/>
                <w:color w:val="19322B"/>
                <w:sz w:val="20"/>
              </w:rPr>
              <w:t>Traveler study typography</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Current shared trip password</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comparison and bulk editing</w:t>
            </w:r>
          </w:p>
          <w:p>
            <w:pPr>
              <w:numPr>
                <w:ilvl w:val="0"/>
                <w:numId w:val="13"/>
              </w:numPr>
              <w:spacing w:before="0" w:after="0" w:line="240" w:lineRule="auto"/>
              <w:ind w:left="540" w:hanging="271"/>
            </w:pPr>
            <w:r>
              <w:rPr>
                <w:rFonts w:ascii="Segoe UI" w:hAnsi="Segoe UI"/>
                <w:color w:val="19322B"/>
                <w:sz w:val="20"/>
              </w:rPr>
              <w:t>Shared portal account management</w:t>
            </w:r>
          </w:p>
          <w:p>
            <w:pPr>
              <w:numPr>
                <w:ilvl w:val="0"/>
                <w:numId w:val="13"/>
              </w:numPr>
              <w:spacing w:before="0" w:after="0" w:line="240" w:lineRule="auto"/>
              <w:ind w:left="540" w:hanging="271"/>
            </w:pPr>
            <w:r>
              <w:rPr>
                <w:rFonts w:ascii="Segoe UI" w:hAnsi="Segoe UI"/>
                <w:color w:val="19322B"/>
                <w:sz w:val="20"/>
              </w:rPr>
              <w:t>Donation split editor</w:t>
            </w:r>
          </w:p>
          <w:p>
            <w:pPr>
              <w:numPr>
                <w:ilvl w:val="0"/>
                <w:numId w:val="13"/>
              </w:numPr>
              <w:spacing w:before="0" w:after="0" w:line="240" w:lineRule="auto"/>
              <w:ind w:left="540" w:hanging="271"/>
            </w:pPr>
            <w:r>
              <w:rPr>
                <w:rFonts w:ascii="Segoe UI" w:hAnsi="Segoe UI"/>
                <w:color w:val="19322B"/>
                <w:sz w:val="20"/>
              </w:rPr>
              <w:t>MMT account and access screens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Destination management patterns</w:t>
            </w:r>
          </w:p>
          <w:p>
            <w:pPr>
              <w:numPr>
                <w:ilvl w:val="0"/>
                <w:numId w:val="13"/>
              </w:numPr>
              <w:spacing w:before="0" w:after="0" w:line="240" w:lineRule="auto"/>
              <w:ind w:left="540" w:hanging="271"/>
            </w:pPr>
            <w:r>
              <w:rPr>
                <w:rFonts w:ascii="Segoe UI" w:hAnsi="Segoe UI"/>
                <w:color w:val="19322B"/>
                <w:sz w:val="20"/>
              </w:rPr>
              <w:t>Purpose</w:t>
            </w:r>
          </w:p>
          <w:p>
            <w:pPr>
              <w:numPr>
                <w:ilvl w:val="0"/>
                <w:numId w:val="13"/>
              </w:numPr>
              <w:spacing w:before="0" w:after="0" w:line="240" w:lineRule="auto"/>
              <w:ind w:left="540" w:hanging="271"/>
            </w:pPr>
            <w:r>
              <w:rPr>
                <w:rFonts w:ascii="Segoe UI" w:hAnsi="Segoe UI"/>
                <w:color w:val="19322B"/>
                <w:sz w:val="20"/>
              </w:rPr>
              <w:t>Canonical design sources</w:t>
            </w:r>
          </w:p>
          <w:p>
            <w:pPr>
              <w:numPr>
                <w:ilvl w:val="0"/>
                <w:numId w:val="13"/>
              </w:numPr>
              <w:spacing w:before="0" w:after="0" w:line="240" w:lineRule="auto"/>
              <w:ind w:left="540" w:hanging="271"/>
            </w:pPr>
            <w:r>
              <w:rPr>
                <w:rFonts w:ascii="Segoe UI" w:hAnsi="Segoe UI"/>
                <w:color w:val="19322B"/>
                <w:sz w:val="20"/>
              </w:rPr>
              <w:t>Brand foundation</w:t>
            </w:r>
          </w:p>
          <w:p>
            <w:pPr>
              <w:numPr>
                <w:ilvl w:val="0"/>
                <w:numId w:val="13"/>
              </w:numPr>
              <w:spacing w:before="0" w:after="0" w:line="240" w:lineRule="auto"/>
              <w:ind w:left="540" w:hanging="271"/>
            </w:pPr>
            <w:r>
              <w:rPr>
                <w:rFonts w:ascii="Segoe UI" w:hAnsi="Segoe UI"/>
                <w:color w:val="19322B"/>
                <w:sz w:val="20"/>
              </w:rPr>
              <w:t>Logo system</w:t>
            </w:r>
          </w:p>
          <w:p>
            <w:pPr>
              <w:numPr>
                <w:ilvl w:val="0"/>
                <w:numId w:val="13"/>
              </w:numPr>
              <w:spacing w:before="0" w:after="0" w:line="240" w:lineRule="auto"/>
              <w:ind w:left="540" w:hanging="271"/>
            </w:pPr>
            <w:r>
              <w:rPr>
                <w:rFonts w:ascii="Segoe UI" w:hAnsi="Segoe UI"/>
                <w:color w:val="19322B"/>
                <w:sz w:val="20"/>
              </w:rPr>
              <w:t>Color system</w:t>
            </w:r>
          </w:p>
          <w:p>
            <w:pPr>
              <w:numPr>
                <w:ilvl w:val="0"/>
                <w:numId w:val="13"/>
              </w:numPr>
              <w:spacing w:before="0" w:after="0" w:line="240" w:lineRule="auto"/>
              <w:ind w:left="540" w:hanging="271"/>
            </w:pPr>
            <w:r>
              <w:rPr>
                <w:rFonts w:ascii="Segoe UI" w:hAnsi="Segoe UI"/>
                <w:color w:val="19322B"/>
                <w:sz w:val="20"/>
              </w:rPr>
              <w:t>Typography</w:t>
            </w:r>
          </w:p>
          <w:p>
            <w:pPr>
              <w:numPr>
                <w:ilvl w:val="0"/>
                <w:numId w:val="13"/>
              </w:numPr>
              <w:spacing w:before="0" w:after="0" w:line="240" w:lineRule="auto"/>
              <w:ind w:left="540" w:hanging="271"/>
            </w:pPr>
            <w:r>
              <w:rPr>
                <w:rFonts w:ascii="Segoe UI" w:hAnsi="Segoe UI"/>
                <w:color w:val="19322B"/>
                <w:sz w:val="20"/>
              </w:rPr>
              <w:t>Layout and spacing</w:t>
            </w:r>
          </w:p>
          <w:p>
            <w:pPr>
              <w:numPr>
                <w:ilvl w:val="0"/>
                <w:numId w:val="13"/>
              </w:numPr>
              <w:spacing w:before="0" w:after="0" w:line="240" w:lineRule="auto"/>
              <w:ind w:left="540" w:hanging="271"/>
            </w:pPr>
            <w:r>
              <w:rPr>
                <w:rFonts w:ascii="Segoe UI" w:hAnsi="Segoe UI"/>
                <w:color w:val="19322B"/>
                <w:sz w:val="20"/>
              </w:rPr>
              <w:t>Core components</w:t>
            </w:r>
          </w:p>
          <w:p>
            <w:pPr>
              <w:numPr>
                <w:ilvl w:val="0"/>
                <w:numId w:val="13"/>
              </w:numPr>
              <w:spacing w:before="0" w:after="0" w:line="240" w:lineRule="auto"/>
              <w:ind w:left="540" w:hanging="271"/>
            </w:pPr>
            <w:r>
              <w:rPr>
                <w:rFonts w:ascii="Segoe UI" w:hAnsi="Segoe UI"/>
                <w:color w:val="19322B"/>
                <w:sz w:val="20"/>
              </w:rPr>
              <w:t>Photography and media</w:t>
            </w:r>
          </w:p>
          <w:p>
            <w:pPr>
              <w:numPr>
                <w:ilvl w:val="0"/>
                <w:numId w:val="13"/>
              </w:numPr>
              <w:spacing w:before="0" w:after="0" w:line="240" w:lineRule="auto"/>
              <w:ind w:left="540" w:hanging="271"/>
            </w:pPr>
            <w:r>
              <w:rPr>
                <w:rFonts w:ascii="Segoe UI" w:hAnsi="Segoe UI"/>
                <w:color w:val="19322B"/>
                <w:sz w:val="20"/>
              </w:rPr>
              <w:t>Voice and content standards</w:t>
            </w:r>
          </w:p>
          <w:p>
            <w:pPr>
              <w:numPr>
                <w:ilvl w:val="0"/>
                <w:numId w:val="13"/>
              </w:numPr>
              <w:spacing w:before="0" w:after="0" w:line="240" w:lineRule="auto"/>
              <w:ind w:left="540" w:hanging="271"/>
            </w:pPr>
            <w:r>
              <w:rPr>
                <w:rFonts w:ascii="Segoe UI" w:hAnsi="Segoe UI"/>
                <w:color w:val="19322B"/>
                <w:sz w:val="20"/>
              </w:rPr>
              <w:t>Accessibility standards</w:t>
            </w:r>
          </w:p>
          <w:p>
            <w:pPr>
              <w:numPr>
                <w:ilvl w:val="0"/>
                <w:numId w:val="13"/>
              </w:numPr>
              <w:spacing w:before="0" w:after="0" w:line="240" w:lineRule="auto"/>
              <w:ind w:left="540" w:hanging="271"/>
            </w:pPr>
            <w:r>
              <w:rPr>
                <w:rFonts w:ascii="Segoe UI" w:hAnsi="Segoe UI"/>
                <w:color w:val="19322B"/>
                <w:sz w:val="20"/>
              </w:rPr>
              <w:t>Motion standards</w:t>
            </w:r>
          </w:p>
          <w:p>
            <w:pPr>
              <w:numPr>
                <w:ilvl w:val="0"/>
                <w:numId w:val="13"/>
              </w:numPr>
              <w:spacing w:before="0" w:after="0" w:line="240" w:lineRule="auto"/>
              <w:ind w:left="540" w:hanging="271"/>
            </w:pPr>
            <w:r>
              <w:rPr>
                <w:rFonts w:ascii="Segoe UI" w:hAnsi="Segoe UI"/>
                <w:color w:val="19322B"/>
                <w:sz w:val="20"/>
              </w:rPr>
              <w:t>New page checklist</w:t>
            </w:r>
          </w:p>
          <w:p>
            <w:pPr>
              <w:numPr>
                <w:ilvl w:val="0"/>
                <w:numId w:val="13"/>
              </w:numPr>
              <w:spacing w:before="0" w:after="0" w:line="240" w:lineRule="auto"/>
              <w:ind w:left="540" w:hanging="271"/>
            </w:pPr>
            <w:r>
              <w:rPr>
                <w:rFonts w:ascii="Segoe UI" w:hAnsi="Segoe UI"/>
                <w:color w:val="19322B"/>
                <w:sz w:val="20"/>
              </w:rPr>
              <w:t>Governance</w:t>
            </w:r>
          </w:p>
          <w:p>
            <w:pPr>
              <w:numPr>
                <w:ilvl w:val="0"/>
                <w:numId w:val="13"/>
              </w:numPr>
              <w:spacing w:before="0" w:after="0" w:line="240" w:lineRule="auto"/>
              <w:ind w:left="540" w:hanging="271"/>
            </w:pPr>
            <w:r>
              <w:rPr>
                <w:rFonts w:ascii="Segoe UI" w:hAnsi="Segoe UI"/>
                <w:color w:val="19322B"/>
                <w:sz w:val="20"/>
              </w:rPr>
              <w:t>Ministry Management interface</w:t>
            </w:r>
          </w:p>
          <w:p>
            <w:pPr>
              <w:numPr>
                <w:ilvl w:val="0"/>
                <w:numId w:val="13"/>
              </w:numPr>
              <w:spacing w:before="0" w:after="0" w:line="240" w:lineRule="auto"/>
              <w:ind w:left="540" w:hanging="271"/>
            </w:pPr>
            <w:r>
              <w:rPr>
                <w:rFonts w:ascii="Segoe UI" w:hAnsi="Segoe UI"/>
                <w:color w:val="19322B"/>
                <w:sz w:val="20"/>
              </w:rPr>
              <w:t>Expanded bookkeeping screens</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gift presentation</w:t>
            </w:r>
          </w:p>
          <w:p>
            <w:pPr>
              <w:numPr>
                <w:ilvl w:val="0"/>
                <w:numId w:val="13"/>
              </w:numPr>
              <w:spacing w:before="0" w:after="0" w:line="240" w:lineRule="auto"/>
              <w:ind w:left="540" w:hanging="271"/>
            </w:pPr>
            <w:r>
              <w:rPr>
                <w:rFonts w:ascii="Segoe UI" w:hAnsi="Segoe UI"/>
                <w:color w:val="19322B"/>
                <w:sz w:val="20"/>
              </w:rPr>
              <w:t>Traveling trips and public follow-along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Story preview presentation</w:t>
            </w:r>
          </w:p>
          <w:p>
            <w:pPr>
              <w:numPr>
                <w:ilvl w:val="0"/>
                <w:numId w:val="13"/>
              </w:numPr>
              <w:spacing w:before="0" w:after="0" w:line="240" w:lineRule="auto"/>
              <w:ind w:left="540" w:hanging="271"/>
            </w:pPr>
            <w:r>
              <w:rPr>
                <w:rFonts w:ascii="Segoe UI" w:hAnsi="Segoe UI"/>
                <w:color w:val="19322B"/>
                <w:sz w:val="20"/>
              </w:rPr>
              <w:t>Related contact card</w:t>
            </w:r>
          </w:p>
          <w:p>
            <w:pPr>
              <w:numPr>
                <w:ilvl w:val="0"/>
                <w:numId w:val="13"/>
              </w:numPr>
              <w:spacing w:before="0" w:after="0" w:line="240" w:lineRule="auto"/>
              <w:ind w:left="540" w:hanging="271"/>
            </w:pPr>
            <w:r>
              <w:rPr>
                <w:rFonts w:ascii="Segoe UI" w:hAnsi="Segoe UI"/>
                <w:color w:val="19322B"/>
                <w:sz w:val="20"/>
              </w:rPr>
              <w:t>Book reading pages</w:t>
            </w:r>
          </w:p>
          <w:p>
            <w:pPr>
              <w:numPr>
                <w:ilvl w:val="0"/>
                <w:numId w:val="13"/>
              </w:numPr>
              <w:spacing w:before="0" w:after="0" w:line="240" w:lineRule="auto"/>
              <w:ind w:left="540" w:hanging="271"/>
            </w:pPr>
            <w:r>
              <w:rPr>
                <w:rFonts w:ascii="Segoe UI" w:hAnsi="Segoe UI"/>
                <w:color w:val="19322B"/>
                <w:sz w:val="20"/>
              </w:rPr>
              <w:t>Managed contact access categories</w:t>
            </w:r>
          </w:p>
          <w:p>
            <w:pPr>
              <w:numPr>
                <w:ilvl w:val="0"/>
                <w:numId w:val="13"/>
              </w:numPr>
              <w:spacing w:before="0" w:after="0" w:line="240" w:lineRule="auto"/>
              <w:ind w:left="540" w:hanging="271"/>
            </w:pPr>
            <w:r>
              <w:rPr>
                <w:rFonts w:ascii="Segoe UI" w:hAnsi="Segoe UI"/>
                <w:color w:val="19322B"/>
                <w:sz w:val="20"/>
              </w:rPr>
              <w:t>Three ways to serve in the local preview</w:t>
            </w:r>
          </w:p>
          <w:p>
            <w:pPr>
              <w:numPr>
                <w:ilvl w:val="0"/>
                <w:numId w:val="13"/>
              </w:numPr>
              <w:spacing w:before="0" w:after="0" w:line="240" w:lineRule="auto"/>
              <w:ind w:left="540" w:hanging="271"/>
            </w:pPr>
            <w:r>
              <w:rPr>
                <w:rFonts w:ascii="Segoe UI" w:hAnsi="Segoe UI"/>
                <w:color w:val="19322B"/>
                <w:sz w:val="20"/>
              </w:rPr>
              <w:t>Production-margin comparison</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Verified account email changes</w:t>
      </w:r>
    </w:p>
    <w:p>
      <w:r>
        <w:rPr>
          <w:rFonts w:ascii="Segoe UI" w:hAnsi="Segoe UI"/>
          <w:color w:val="19322B"/>
          <w:sz w:val="22"/>
        </w:rPr>
        <w:t>Keep the existing account form and shared palette. Explain that recovery email changes require the current password and a confirmation link, while ordinary profile changes do not. Label the password field clearly, show the pending address alongside the still-active recovery address, and offer Cancel pending email change. Use the semantic success token for successful account notices; errors retain the existing error treatment. The confirmation page describes the effect on shared sign-ins and asks for an explicit Confirm email address action before making the change. After confirmation, provide a Sign in link. Existing-user administrative email fields are read-only and direct the account owner to My profile. Retain visible labels, keyboard access, live status messages and responsive account layouts.</w:t>
      </w:r>
    </w:p>
    <w:p>
      <w:pPr>
        <w:pStyle w:val="Heading1"/>
      </w:pPr>
      <w:r>
        <w:rPr>
          <w:rFonts w:ascii="Georgia" w:hAnsi="Georgia"/>
          <w:b/>
          <w:color w:val="173F35"/>
          <w:sz w:val="32"/>
        </w:rPr>
        <w:t>Volunteer Time workspace and service reports</w:t>
      </w:r>
    </w:p>
    <w:p>
      <w:r>
        <w:rPr>
          <w:rFonts w:ascii="Segoe UI" w:hAnsi="Segoe UI"/>
          <w:color w:val="19322B"/>
          <w:sz w:val="22"/>
        </w:rPr>
        <w:t>Volunteer Time is a first-level link directly below Finances in the shared left navigation for Volunteer and Admin accounts. Volunteer-only users land here after login and see their service tools and account controls. Use the established finance workspace shell, shared /styles.css tokens and keyboard focus behavior. Do not add page-local color literals. The workspace has My hours, Reports &amp; history and administrator-only Review &amp; organizations tabs.</w:t>
      </w:r>
    </w:p>
    <w:p>
      <w:r>
        <w:rPr>
          <w:rFonts w:ascii="Segoe UI" w:hAnsi="Segoe UI"/>
          <w:color w:val="19322B"/>
          <w:sz w:val="22"/>
        </w:rPr>
        <w:t>Use a calendar-month selector and horizontally scrollable service table with date, hours, service/activity, service organization and row action. Hours display exactly one decimal, including totals. Add the leading zero when a user leaves a fractional-hours field, so .5 becomes 0.5; do not round invalid extra decimal places. Monthly reporting organization and recipient controls remain editable regardless of the send-report checkbox, which controls delivery intent only. Provide visible draft/submitted/approved/returned states and an explicit self-reported notice before approval. Announce saves/errors through a live status region; show review notes and duplicate warnings near entries. Keep service organization separate from reporting organization. Unsaved edits warn before navigation. Preserve the selected volunteer and month across page refreshes within the same browser tab so an administrator does not mistake another account’s blank table for lost hours. Mobile tables scroll within the card rather than widening the page.</w:t>
      </w:r>
    </w:p>
    <w:p>
      <w:r>
        <w:rPr>
          <w:rFonts w:ascii="Segoe UI" w:hAnsi="Segoe UI"/>
          <w:color w:val="19322B"/>
          <w:sz w:val="22"/>
        </w:rPr>
        <w:t>Organization restrictions are an administrator checkbox list: selecting none means all active organizations. Volunteers see a dropdown of permitted names only. Give each recipient email its own unique name, ID and autocomplete section within each form; preserve normal email suggestions without copying an address across recipients. Report forms use explicit start/end dates for month, calendar, fiscal, school and custom ranges. Explain that fiscal and school dates vary. Provide review confirmation before sending. A history card identifies report version, issued date, original report link and each delivery's status.</w:t>
      </w:r>
    </w:p>
    <w:p>
      <w:r>
        <w:rPr>
          <w:rFonts w:ascii="Segoe UI" w:hAnsi="Segoe UI"/>
          <w:color w:val="19322B"/>
          <w:sz w:val="22"/>
        </w:rPr>
        <w:t>Certified reports use HS palette values generated from the shared root, daily rows, monthly subtotals and a clear total. Close with the accuracy certification, WitLooL, Brent's private signature and the exact giving-email logo/contact/trademark footer shared by givingEmailFooter. Original report pages retain the embedded signature for printing; email embeds it by content ID. Draft hours never display this signed certification. Printed reports repeat table headers and avoid splitting a row; use browser Print / Save as PDF. Test displays captured delivery clearly.</w:t>
      </w:r>
    </w:p>
    <w:p>
      <w:pPr>
        <w:pStyle w:val="Heading1"/>
      </w:pPr>
      <w:r>
        <w:rPr>
          <w:rFonts w:ascii="Georgia" w:hAnsi="Georgia"/>
          <w:b/>
          <w:color w:val="173F35"/>
          <w:sz w:val="32"/>
        </w:rPr>
        <w:t>Portal guide navigation</w:t>
      </w:r>
    </w:p>
    <w:p>
      <w:r>
        <w:rPr>
          <w:rFonts w:ascii="Segoe UI" w:hAnsi="Segoe UI"/>
          <w:color w:val="19322B"/>
          <w:sz w:val="22"/>
        </w:rPr>
        <w:t>Authenticated portal footers stack guide links on separate lines. For portal administrators, MMT developer guide appears immediately below MMT user guide. Both use existing navigation colors and keyboard focus outlines. The developer web edition reuses the user guide page layout and shared palette, with horizontally scrollable tables and code examples on small screens, a clickable contents list, and Back to contents links.</w:t>
      </w:r>
    </w:p>
    <w:p>
      <w:pPr>
        <w:pStyle w:val="Heading1"/>
      </w:pPr>
      <w:r>
        <w:rPr>
          <w:rFonts w:ascii="Georgia" w:hAnsi="Georgia"/>
          <w:b/>
          <w:color w:val="173F35"/>
          <w:sz w:val="32"/>
        </w:rPr>
        <w:t>Live public questions and portal knowledge tools</w:t>
      </w:r>
    </w:p>
    <w:p>
      <w:r>
        <w:rPr>
          <w:rFonts w:ascii="Segoe UI" w:hAnsi="Segoe UI"/>
          <w:color w:val="19322B"/>
          <w:sz w:val="22"/>
        </w:rPr>
        <w:t>Each review card has one state-dependent reuse control: Approve for reuse before approval and Withdraw reuse after approval. Never display both reuse actions together. Keep FAQ Publish/Unpublish as its separate state-dependent control.</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20, 2026 - Version 4.62.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4.58.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