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4.9</w:t>
      </w:r>
      <w:r>
        <w:rPr>
          <w:rFonts w:ascii="Segoe UI" w:hAnsi="Segoe UI"/>
          <w:color w:val="D99B42"/>
          <w:sz w:val="20"/>
        </w:rPr>
        <w:t xml:space="preserve">  •  </w:t>
      </w:r>
      <w:r>
        <w:rPr>
          <w:rFonts w:ascii="Segoe UI" w:hAnsi="Segoe UI"/>
          <w:color w:val="60726B"/>
          <w:sz w:val="20"/>
        </w:rPr>
        <w:t>Last reviewed September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20" w:line="240" w:lineRule="auto"/>
        <w:ind w:left="540" w:hanging="271"/>
      </w:pPr>
      <w:r>
        <w:rPr>
          <w:rFonts w:ascii="Segoe UI" w:hAnsi="Segoe UI"/>
          <w:color w:val="19322B"/>
          <w:sz w:val="21"/>
        </w:rPr>
        <w:t>Portal planning and contact review</w:t>
      </w:r>
    </w:p>
    <w:p>
      <w:pPr>
        <w:numPr>
          <w:ilvl w:val="0"/>
          <w:numId w:val="13"/>
        </w:numPr>
        <w:spacing w:before="0" w:after="20" w:line="240" w:lineRule="auto"/>
        <w:ind w:left="540" w:hanging="271"/>
      </w:pPr>
      <w:r>
        <w:rPr>
          <w:rFonts w:ascii="Segoe UI" w:hAnsi="Segoe UI"/>
          <w:color w:val="19322B"/>
          <w:sz w:val="21"/>
        </w:rPr>
        <w:t>Trip memories and public trip stories</w:t>
      </w:r>
    </w:p>
    <w:p>
      <w:pPr>
        <w:numPr>
          <w:ilvl w:val="0"/>
          <w:numId w:val="13"/>
        </w:numPr>
        <w:spacing w:before="0" w:after="20" w:line="240" w:lineRule="auto"/>
        <w:ind w:left="540" w:hanging="271"/>
      </w:pPr>
      <w:r>
        <w:rPr>
          <w:rFonts w:ascii="Segoe UI" w:hAnsi="Segoe UI"/>
          <w:color w:val="19322B"/>
          <w:sz w:val="21"/>
        </w:rPr>
        <w:t>Shared MMT navigation</w:t>
      </w:r>
    </w:p>
    <w:p>
      <w:pPr>
        <w:numPr>
          <w:ilvl w:val="0"/>
          <w:numId w:val="13"/>
        </w:numPr>
        <w:spacing w:before="0" w:after="20" w:line="240" w:lineRule="auto"/>
        <w:ind w:left="540" w:hanging="271"/>
      </w:pPr>
      <w:r>
        <w:rPr>
          <w:rFonts w:ascii="Segoe UI" w:hAnsi="Segoe UI"/>
          <w:color w:val="19322B"/>
          <w:sz w:val="21"/>
        </w:rPr>
        <w:t>Devotional library</w:t>
      </w:r>
    </w:p>
    <w:p>
      <w:pPr>
        <w:numPr>
          <w:ilvl w:val="0"/>
          <w:numId w:val="13"/>
        </w:numPr>
        <w:spacing w:before="0" w:after="20" w:line="240" w:lineRule="auto"/>
        <w:ind w:left="540" w:hanging="271"/>
      </w:pPr>
      <w:r>
        <w:rPr>
          <w:rFonts w:ascii="Segoe UI" w:hAnsi="Segoe UI"/>
          <w:color w:val="19322B"/>
          <w:sz w:val="21"/>
        </w:rPr>
        <w:t>Devotional day navigation</w:t>
      </w:r>
    </w:p>
    <w:p>
      <w:pPr>
        <w:numPr>
          <w:ilvl w:val="0"/>
          <w:numId w:val="13"/>
        </w:numPr>
        <w:spacing w:before="0" w:after="20" w:line="240" w:lineRule="auto"/>
        <w:ind w:left="540" w:hanging="271"/>
      </w:pPr>
      <w:r>
        <w:rPr>
          <w:rFonts w:ascii="Segoe UI" w:hAnsi="Segoe UI"/>
          <w:color w:val="19322B"/>
          <w:sz w:val="21"/>
        </w:rPr>
        <w:t>Traveler study formatting</w:t>
      </w:r>
    </w:p>
    <w:p>
      <w:pPr>
        <w:numPr>
          <w:ilvl w:val="0"/>
          <w:numId w:val="13"/>
        </w:numPr>
        <w:spacing w:before="0" w:after="20" w:line="240" w:lineRule="auto"/>
        <w:ind w:left="540" w:hanging="271"/>
      </w:pPr>
      <w:r>
        <w:rPr>
          <w:rFonts w:ascii="Segoe UI" w:hAnsi="Segoe UI"/>
          <w:color w:val="19322B"/>
          <w:sz w:val="21"/>
        </w:rPr>
        <w:t>Dated trip preview layout</w:t>
      </w:r>
    </w:p>
    <w:p>
      <w:pPr>
        <w:numPr>
          <w:ilvl w:val="0"/>
          <w:numId w:val="13"/>
        </w:numPr>
        <w:spacing w:before="0" w:after="20" w:line="240" w:lineRule="auto"/>
        <w:ind w:left="540" w:hanging="271"/>
      </w:pPr>
      <w:r>
        <w:rPr>
          <w:rFonts w:ascii="Segoe UI" w:hAnsi="Segoe UI"/>
          <w:color w:val="19322B"/>
          <w:sz w:val="21"/>
        </w:rPr>
        <w:t>Shared trip password display</w:t>
      </w:r>
    </w:p>
    <w:p>
      <w:pPr>
        <w:numPr>
          <w:ilvl w:val="0"/>
          <w:numId w:val="13"/>
        </w:numPr>
        <w:spacing w:before="0" w:after="20" w:line="240" w:lineRule="auto"/>
        <w:ind w:left="540" w:hanging="271"/>
      </w:pPr>
      <w:r>
        <w:rPr>
          <w:rFonts w:ascii="Segoe UI" w:hAnsi="Segoe UI"/>
          <w:color w:val="19322B"/>
          <w:sz w:val="21"/>
        </w:rPr>
        <w:t>Inbox completion and trash</w:t>
      </w:r>
    </w:p>
    <w:p>
      <w:pPr>
        <w:numPr>
          <w:ilvl w:val="0"/>
          <w:numId w:val="13"/>
        </w:numPr>
        <w:spacing w:before="0" w:after="20" w:line="240" w:lineRule="auto"/>
        <w:ind w:left="540" w:hanging="271"/>
      </w:pPr>
      <w:r>
        <w:rPr>
          <w:rFonts w:ascii="Segoe UI" w:hAnsi="Segoe UI"/>
          <w:color w:val="19322B"/>
          <w:sz w:val="21"/>
        </w:rPr>
        <w:t>Contact directory and spreadsheet</w:t>
      </w:r>
    </w:p>
    <w:p>
      <w:pPr>
        <w:numPr>
          <w:ilvl w:val="0"/>
          <w:numId w:val="13"/>
        </w:numPr>
        <w:spacing w:before="0" w:after="20" w:line="240" w:lineRule="auto"/>
        <w:ind w:left="540" w:hanging="271"/>
      </w:pPr>
      <w:r>
        <w:rPr>
          <w:rFonts w:ascii="Segoe UI" w:hAnsi="Segoe UI"/>
          <w:color w:val="19322B"/>
          <w:sz w:val="21"/>
        </w:rPr>
        <w:t>Trip budget funding and bulk updates</w:t>
      </w:r>
    </w:p>
    <w:p>
      <w:pPr>
        <w:numPr>
          <w:ilvl w:val="0"/>
          <w:numId w:val="13"/>
        </w:numPr>
        <w:spacing w:before="0" w:after="20" w:line="240" w:lineRule="auto"/>
        <w:ind w:left="540" w:hanging="271"/>
      </w:pPr>
      <w:r>
        <w:rPr>
          <w:rFonts w:ascii="Segoe UI" w:hAnsi="Segoe UI"/>
          <w:color w:val="19322B"/>
          <w:sz w:val="21"/>
        </w:rPr>
        <w:t>Shared HS and CSM accounts</w:t>
      </w:r>
    </w:p>
    <w:p>
      <w:pPr>
        <w:numPr>
          <w:ilvl w:val="0"/>
          <w:numId w:val="13"/>
        </w:numPr>
        <w:spacing w:before="0" w:after="20" w:line="240" w:lineRule="auto"/>
        <w:ind w:left="540" w:hanging="271"/>
      </w:pPr>
      <w:r>
        <w:rPr>
          <w:rFonts w:ascii="Segoe UI" w:hAnsi="Segoe UI"/>
          <w:color w:val="19322B"/>
          <w:sz w:val="21"/>
        </w:rPr>
        <w:t>Donation allocations</w:t>
      </w:r>
    </w:p>
    <w:p>
      <w:pPr>
        <w:numPr>
          <w:ilvl w:val="0"/>
          <w:numId w:val="13"/>
        </w:numPr>
        <w:spacing w:before="0" w:after="20" w:line="240" w:lineRule="auto"/>
        <w:ind w:left="540" w:hanging="271"/>
      </w:pPr>
      <w:r>
        <w:rPr>
          <w:rFonts w:ascii="Segoe UI" w:hAnsi="Segoe UI"/>
          <w:color w:val="19322B"/>
          <w:sz w:val="21"/>
        </w:rPr>
        <w:t>Individual MMT accounts and phone storage</w:t>
      </w:r>
    </w:p>
    <w:p>
      <w:pPr>
        <w:numPr>
          <w:ilvl w:val="0"/>
          <w:numId w:val="13"/>
        </w:numPr>
        <w:spacing w:before="0" w:after="20" w:line="240" w:lineRule="auto"/>
        <w:ind w:left="540" w:hanging="271"/>
      </w:pPr>
      <w:r>
        <w:rPr>
          <w:rFonts w:ascii="Segoe UI" w:hAnsi="Segoe UI"/>
          <w:color w:val="19322B"/>
          <w:sz w:val="21"/>
        </w:rPr>
        <w:t>Managed public destinations</w:t>
      </w:r>
    </w:p>
    <w:p>
      <w:pPr>
        <w:numPr>
          <w:ilvl w:val="0"/>
          <w:numId w:val="13"/>
        </w:numPr>
        <w:spacing w:before="0" w:after="20" w:line="240" w:lineRule="auto"/>
        <w:ind w:left="540" w:hanging="271"/>
      </w:pPr>
      <w:r>
        <w:rPr>
          <w:rFonts w:ascii="Segoe UI" w:hAnsi="Segoe UI"/>
          <w:color w:val="19322B"/>
          <w:sz w:val="21"/>
        </w:rPr>
        <w:t>Purpose and operating rules</w:t>
      </w:r>
    </w:p>
    <w:p>
      <w:pPr>
        <w:numPr>
          <w:ilvl w:val="0"/>
          <w:numId w:val="13"/>
        </w:numPr>
        <w:spacing w:before="0" w:after="20" w:line="240" w:lineRule="auto"/>
        <w:ind w:left="540" w:hanging="271"/>
      </w:pPr>
      <w:r>
        <w:rPr>
          <w:rFonts w:ascii="Segoe UI" w:hAnsi="Segoe UI"/>
          <w:color w:val="19322B"/>
          <w:sz w:val="21"/>
        </w:rPr>
        <w:t>System overview</w:t>
      </w:r>
    </w:p>
    <w:p>
      <w:pPr>
        <w:numPr>
          <w:ilvl w:val="0"/>
          <w:numId w:val="13"/>
        </w:numPr>
        <w:spacing w:before="0" w:after="20" w:line="240" w:lineRule="auto"/>
        <w:ind w:left="540" w:hanging="271"/>
      </w:pPr>
      <w:r>
        <w:rPr>
          <w:rFonts w:ascii="Segoe UI" w:hAnsi="Segoe UI"/>
          <w:color w:val="19322B"/>
          <w:sz w:val="21"/>
        </w:rPr>
        <w:t>Important locations</w:t>
      </w:r>
    </w:p>
    <w:p>
      <w:pPr>
        <w:numPr>
          <w:ilvl w:val="0"/>
          <w:numId w:val="13"/>
        </w:numPr>
        <w:spacing w:before="0" w:after="20" w:line="240" w:lineRule="auto"/>
        <w:ind w:left="540" w:hanging="271"/>
      </w:pPr>
      <w:r>
        <w:rPr>
          <w:rFonts w:ascii="Segoe UI" w:hAnsi="Segoe UI"/>
          <w:color w:val="19322B"/>
          <w:sz w:val="21"/>
        </w:rPr>
        <w:t>Public route inventory</w:t>
      </w:r>
    </w:p>
    <w:p>
      <w:pPr>
        <w:numPr>
          <w:ilvl w:val="0"/>
          <w:numId w:val="13"/>
        </w:numPr>
        <w:spacing w:before="0" w:after="20" w:line="240" w:lineRule="auto"/>
        <w:ind w:left="540" w:hanging="271"/>
      </w:pPr>
      <w:r>
        <w:rPr>
          <w:rFonts w:ascii="Segoe UI" w:hAnsi="Segoe UI"/>
          <w:color w:val="19322B"/>
          <w:sz w:val="21"/>
        </w:rPr>
        <w:t>Shared frontend architecture</w:t>
      </w:r>
    </w:p>
    <w:p>
      <w:pPr>
        <w:numPr>
          <w:ilvl w:val="0"/>
          <w:numId w:val="13"/>
        </w:numPr>
        <w:spacing w:before="0" w:after="20" w:line="240" w:lineRule="auto"/>
        <w:ind w:left="540" w:hanging="271"/>
      </w:pPr>
      <w:r>
        <w:rPr>
          <w:rFonts w:ascii="Segoe UI" w:hAnsi="Segoe UI"/>
          <w:color w:val="19322B"/>
          <w:sz w:val="21"/>
        </w:rPr>
        <w:t>Content and data files</w:t>
      </w:r>
    </w:p>
    <w:p>
      <w:pPr>
        <w:numPr>
          <w:ilvl w:val="0"/>
          <w:numId w:val="13"/>
        </w:numPr>
        <w:spacing w:before="0" w:after="20" w:line="240" w:lineRule="auto"/>
        <w:ind w:left="540" w:hanging="271"/>
      </w:pPr>
      <w:r>
        <w:rPr>
          <w:rFonts w:ascii="Segoe UI" w:hAnsi="Segoe UI"/>
          <w:color w:val="19322B"/>
          <w:sz w:val="21"/>
        </w:rPr>
        <w:t>Interest form and response portal</w:t>
      </w:r>
    </w:p>
    <w:p>
      <w:pPr>
        <w:numPr>
          <w:ilvl w:val="0"/>
          <w:numId w:val="13"/>
        </w:numPr>
        <w:spacing w:before="0" w:after="20" w:line="240" w:lineRule="auto"/>
        <w:ind w:left="540" w:hanging="271"/>
      </w:pPr>
      <w:r>
        <w:rPr>
          <w:rFonts w:ascii="Segoe UI" w:hAnsi="Segoe UI"/>
          <w:color w:val="19322B"/>
          <w:sz w:val="21"/>
        </w:rPr>
        <w:t>Giving and PayPal</w:t>
      </w:r>
    </w:p>
    <w:p>
      <w:pPr>
        <w:numPr>
          <w:ilvl w:val="0"/>
          <w:numId w:val="13"/>
        </w:numPr>
        <w:spacing w:before="0" w:after="20" w:line="240" w:lineRule="auto"/>
        <w:ind w:left="540" w:hanging="271"/>
      </w:pPr>
      <w:r>
        <w:rPr>
          <w:rFonts w:ascii="Segoe UI" w:hAnsi="Segoe UI"/>
          <w:color w:val="19322B"/>
          <w:sz w:val="21"/>
        </w:rPr>
        <w:t>Scheduling</w:t>
      </w:r>
    </w:p>
    <w:p>
      <w:pPr>
        <w:numPr>
          <w:ilvl w:val="0"/>
          <w:numId w:val="13"/>
        </w:numPr>
        <w:spacing w:before="0" w:after="20" w:line="240" w:lineRule="auto"/>
        <w:ind w:left="540" w:hanging="271"/>
      </w:pPr>
      <w:r>
        <w:rPr>
          <w:rFonts w:ascii="Segoe UI" w:hAnsi="Segoe UI"/>
          <w:color w:val="19322B"/>
          <w:sz w:val="21"/>
        </w:rPr>
        <w:t>Local development</w:t>
      </w:r>
    </w:p>
    <w:p>
      <w:pPr>
        <w:numPr>
          <w:ilvl w:val="0"/>
          <w:numId w:val="13"/>
        </w:numPr>
        <w:spacing w:before="0" w:after="20" w:line="240" w:lineRule="auto"/>
        <w:ind w:left="540" w:hanging="271"/>
      </w:pPr>
      <w:r>
        <w:rPr>
          <w:rFonts w:ascii="Segoe UI" w:hAnsi="Segoe UI"/>
          <w:color w:val="19322B"/>
          <w:sz w:val="21"/>
        </w:rPr>
        <w:t>Validation standards</w:t>
      </w:r>
    </w:p>
    <w:p>
      <w:pPr>
        <w:numPr>
          <w:ilvl w:val="0"/>
          <w:numId w:val="13"/>
        </w:numPr>
        <w:spacing w:before="0" w:after="20" w:line="240" w:lineRule="auto"/>
        <w:ind w:left="540" w:hanging="271"/>
      </w:pPr>
      <w:r>
        <w:rPr>
          <w:rFonts w:ascii="Segoe UI" w:hAnsi="Segoe UI"/>
          <w:color w:val="19322B"/>
          <w:sz w:val="21"/>
        </w:rPr>
        <w:t>Common change workflows</w:t>
      </w:r>
    </w:p>
    <w:p>
      <w:pPr>
        <w:numPr>
          <w:ilvl w:val="0"/>
          <w:numId w:val="13"/>
        </w:numPr>
        <w:spacing w:before="0" w:after="20" w:line="240" w:lineRule="auto"/>
        <w:ind w:left="540" w:hanging="271"/>
      </w:pPr>
      <w:r>
        <w:rPr>
          <w:rFonts w:ascii="Segoe UI" w:hAnsi="Segoe UI"/>
          <w:color w:val="19322B"/>
          <w:sz w:val="21"/>
        </w:rPr>
        <w:t>Security and privacy rules</w:t>
      </w:r>
    </w:p>
    <w:p>
      <w:pPr>
        <w:numPr>
          <w:ilvl w:val="0"/>
          <w:numId w:val="13"/>
        </w:numPr>
        <w:spacing w:before="0" w:after="20" w:line="240" w:lineRule="auto"/>
        <w:ind w:left="540" w:hanging="271"/>
      </w:pPr>
      <w:r>
        <w:rPr>
          <w:rFonts w:ascii="Segoe UI" w:hAnsi="Segoe UI"/>
          <w:color w:val="19322B"/>
          <w:sz w:val="21"/>
        </w:rPr>
        <w:t>Deployment boundaries</w:t>
      </w:r>
    </w:p>
    <w:p>
      <w:pPr>
        <w:numPr>
          <w:ilvl w:val="0"/>
          <w:numId w:val="13"/>
        </w:numPr>
        <w:spacing w:before="0" w:after="20" w:line="240" w:lineRule="auto"/>
        <w:ind w:left="540" w:hanging="271"/>
      </w:pPr>
      <w:r>
        <w:rPr>
          <w:rFonts w:ascii="Segoe UI" w:hAnsi="Segoe UI"/>
          <w:color w:val="19322B"/>
          <w:sz w:val="21"/>
        </w:rPr>
        <w:t>Documentation maintenance</w:t>
      </w:r>
    </w:p>
    <w:p>
      <w:pPr>
        <w:numPr>
          <w:ilvl w:val="0"/>
          <w:numId w:val="13"/>
        </w:numPr>
        <w:spacing w:before="0" w:after="20" w:line="240" w:lineRule="auto"/>
        <w:ind w:left="540" w:hanging="271"/>
      </w:pPr>
      <w:r>
        <w:rPr>
          <w:rFonts w:ascii="Segoe UI" w:hAnsi="Segoe UI"/>
          <w:color w:val="19322B"/>
          <w:sz w:val="21"/>
        </w:rPr>
        <w:t>Handoff checklist</w:t>
      </w:r>
    </w:p>
    <w:p>
      <w:pPr>
        <w:numPr>
          <w:ilvl w:val="0"/>
          <w:numId w:val="13"/>
        </w:numPr>
        <w:spacing w:before="0" w:after="20" w:line="240" w:lineRule="auto"/>
        <w:ind w:left="540" w:hanging="271"/>
      </w:pPr>
      <w:r>
        <w:rPr>
          <w:rFonts w:ascii="Segoe UI" w:hAnsi="Segoe UI"/>
          <w:color w:val="19322B"/>
          <w:sz w:val="21"/>
        </w:rPr>
        <w:t>Ministry Management workspace</w:t>
      </w:r>
    </w:p>
    <w:p>
      <w:pPr>
        <w:numPr>
          <w:ilvl w:val="0"/>
          <w:numId w:val="13"/>
        </w:numPr>
        <w:spacing w:before="0" w:after="20" w:line="240" w:lineRule="auto"/>
        <w:ind w:left="540" w:hanging="271"/>
      </w:pPr>
      <w:r>
        <w:rPr>
          <w:rFonts w:ascii="Segoe UI" w:hAnsi="Segoe UI"/>
          <w:color w:val="19322B"/>
          <w:sz w:val="21"/>
        </w:rPr>
        <w:t>Expanded bookkeeping workspace</w:t>
      </w:r>
    </w:p>
    <w:p>
      <w:pPr>
        <w:numPr>
          <w:ilvl w:val="0"/>
          <w:numId w:val="13"/>
        </w:numPr>
        <w:spacing w:before="0" w:after="20" w:line="240" w:lineRule="auto"/>
        <w:ind w:left="540" w:hanging="271"/>
      </w:pPr>
      <w:r>
        <w:rPr>
          <w:rFonts w:ascii="Segoe UI" w:hAnsi="Segoe UI"/>
          <w:color w:val="19322B"/>
          <w:sz w:val="21"/>
        </w:rPr>
        <w:t>User deletion</w:t>
      </w:r>
    </w:p>
    <w:p>
      <w:pPr>
        <w:numPr>
          <w:ilvl w:val="0"/>
          <w:numId w:val="13"/>
        </w:numPr>
        <w:spacing w:before="0" w:after="2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Portal planning and contact review</w:t>
      </w:r>
    </w:p>
    <w:p>
      <w:r>
        <w:rPr>
          <w:rFonts w:ascii="Segoe UI" w:hAnsi="Segoe UI"/>
          <w:color w:val="19322B"/>
          <w:sz w:val="22"/>
        </w:rPr>
        <w:t>Version 4.9 is approved for commit, push, and deployment to the isolated test portal. test.hopesojourns.com manages a one-time copy of live business records in a separate D1 database and private R2 bucket. Changes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Production release remains a separate decision.</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