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4.45</w:t>
      </w:r>
      <w:r>
        <w:rPr>
          <w:rFonts w:ascii="Segoe UI" w:hAnsi="Segoe UI"/>
          <w:color w:val="D99B42"/>
          <w:sz w:val="20"/>
        </w:rPr>
        <w:t xml:space="preserve">  •  </w:t>
      </w:r>
      <w:r>
        <w:rPr>
          <w:rFonts w:ascii="Segoe UI" w:hAnsi="Segoe UI"/>
          <w:color w:val="60726B"/>
          <w:sz w:val="20"/>
        </w:rPr>
        <w:t>Last reviewed October 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p>
      <w:pPr>
        <w:numPr>
          <w:ilvl w:val="0"/>
          <w:numId w:val="13"/>
        </w:numPr>
        <w:spacing w:before="0" w:after="0" w:line="220" w:lineRule="exact"/>
        <w:ind w:left="540" w:hanging="271"/>
      </w:pPr>
      <w:r>
        <w:rPr>
          <w:rFonts w:ascii="Segoe UI" w:hAnsi="Segoe UI"/>
          <w:color w:val="19322B"/>
          <w:sz w:val="20"/>
        </w:rPr>
        <w:t>Mexico ministry partner recognition</w:t>
      </w:r>
    </w:p>
    <w:p>
      <w:pPr>
        <w:numPr>
          <w:ilvl w:val="0"/>
          <w:numId w:val="13"/>
        </w:numPr>
        <w:spacing w:before="0" w:after="0" w:line="220" w:lineRule="exact"/>
        <w:ind w:left="540" w:hanging="271"/>
      </w:pPr>
      <w:r>
        <w:rPr>
          <w:rFonts w:ascii="Segoe UI" w:hAnsi="Segoe UI"/>
          <w:color w:val="19322B"/>
          <w:sz w:val="20"/>
        </w:rPr>
        <w:t>Ministry home layout</w:t>
      </w:r>
    </w:p>
    <w:p>
      <w:pPr>
        <w:numPr>
          <w:ilvl w:val="0"/>
          <w:numId w:val="13"/>
        </w:numPr>
        <w:spacing w:before="0" w:after="0" w:line="220" w:lineRule="exact"/>
        <w:ind w:left="540" w:hanging="271"/>
      </w:pPr>
      <w:r>
        <w:rPr>
          <w:rFonts w:ascii="Segoe UI" w:hAnsi="Segoe UI"/>
          <w:color w:val="19322B"/>
          <w:sz w:val="20"/>
        </w:rPr>
        <w:t>Payment inbox contact association</w:t>
      </w:r>
    </w:p>
    <w:p>
      <w:pPr>
        <w:numPr>
          <w:ilvl w:val="0"/>
          <w:numId w:val="13"/>
        </w:numPr>
        <w:spacing w:before="0" w:after="0" w:line="220" w:lineRule="exact"/>
        <w:ind w:left="540" w:hanging="271"/>
      </w:pPr>
      <w:r>
        <w:rPr>
          <w:rFonts w:ascii="Segoe UI" w:hAnsi="Segoe UI"/>
          <w:color w:val="19322B"/>
          <w:sz w:val="20"/>
        </w:rPr>
        <w:t>Inquiry follow-up controls</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Traveling trips and public follow-along</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Story preview presentation</w:t>
      </w:r>
    </w:p>
    <w:p>
      <w:pPr>
        <w:numPr>
          <w:ilvl w:val="0"/>
          <w:numId w:val="13"/>
        </w:numPr>
        <w:spacing w:before="0" w:after="0" w:line="220" w:lineRule="exact"/>
        <w:ind w:left="540" w:hanging="271"/>
      </w:pPr>
      <w:r>
        <w:rPr>
          <w:rFonts w:ascii="Segoe UI" w:hAnsi="Segoe UI"/>
          <w:color w:val="19322B"/>
          <w:sz w:val="20"/>
        </w:rPr>
        <w:t>Related contact card</w:t>
      </w:r>
    </w:p>
    <w:p>
      <w:pPr>
        <w:numPr>
          <w:ilvl w:val="0"/>
          <w:numId w:val="13"/>
        </w:numPr>
        <w:spacing w:before="0" w:after="0" w:line="220" w:lineRule="exact"/>
        <w:ind w:left="540" w:hanging="271"/>
      </w:pPr>
      <w:r>
        <w:rPr>
          <w:rFonts w:ascii="Segoe UI" w:hAnsi="Segoe UI"/>
          <w:color w:val="19322B"/>
          <w:sz w:val="20"/>
        </w:rPr>
        <w:t>Book reading pages</w:t>
      </w:r>
    </w:p>
    <w:p>
      <w:pPr>
        <w:numPr>
          <w:ilvl w:val="0"/>
          <w:numId w:val="13"/>
        </w:numPr>
        <w:spacing w:before="0" w:after="0" w:line="220" w:lineRule="exact"/>
        <w:ind w:left="540" w:hanging="271"/>
      </w:pPr>
      <w:r>
        <w:rPr>
          <w:rFonts w:ascii="Segoe UI" w:hAnsi="Segoe UI"/>
          <w:color w:val="19322B"/>
          <w:sz w:val="20"/>
        </w:rPr>
        <w:t>Managed contact access categories</w:t>
      </w:r>
    </w:p>
    <w:p>
      <w:pPr>
        <w:numPr>
          <w:ilvl w:val="0"/>
          <w:numId w:val="13"/>
        </w:numPr>
        <w:spacing w:before="0" w:after="0" w:line="220" w:lineRule="exact"/>
        <w:ind w:left="540" w:hanging="271"/>
      </w:pPr>
      <w:r>
        <w:rPr>
          <w:rFonts w:ascii="Segoe UI" w:hAnsi="Segoe UI"/>
          <w:color w:val="19322B"/>
          <w:sz w:val="20"/>
        </w:rPr>
        <w:t>Three ways to serve in the local preview</w:t>
      </w:r>
    </w:p>
    <w:p>
      <w:pPr>
        <w:numPr>
          <w:ilvl w:val="0"/>
          <w:numId w:val="13"/>
        </w:numPr>
        <w:spacing w:before="0" w:after="0" w:line="220" w:lineRule="exact"/>
        <w:ind w:left="540" w:hanging="271"/>
      </w:pPr>
      <w:r>
        <w:rPr>
          <w:rFonts w:ascii="Segoe UI" w:hAnsi="Segoe UI"/>
          <w:color w:val="19322B"/>
          <w:sz w:val="20"/>
        </w:rPr>
        <w:t>Production-margin comparison</w:t>
      </w:r>
    </w:p>
    <w:p>
      <w:pPr>
        <w:numPr>
          <w:ilvl w:val="0"/>
          <w:numId w:val="13"/>
        </w:numPr>
        <w:spacing w:before="0" w:after="0" w:line="220" w:lineRule="exact"/>
        <w:ind w:left="540" w:hanging="271"/>
      </w:pPr>
      <w:r>
        <w:rPr>
          <w:rFonts w:ascii="Segoe UI" w:hAnsi="Segoe UI"/>
          <w:color w:val="19322B"/>
          <w:sz w:val="20"/>
        </w:rPr>
        <w:t>Completed-trip traveler portal navigation</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