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4.20</w:t>
      </w:r>
      <w:r>
        <w:rPr>
          <w:rFonts w:ascii="Segoe UI" w:hAnsi="Segoe UI"/>
          <w:color w:val="D99B42"/>
          <w:sz w:val="20"/>
        </w:rPr>
        <w:t xml:space="preserve">  •  </w:t>
      </w:r>
      <w:r>
        <w:rPr>
          <w:rFonts w:ascii="Segoe UI" w:hAnsi="Segoe UI"/>
          <w:color w:val="60726B"/>
          <w:sz w:val="20"/>
        </w:rPr>
        <w:t>Last reviewed September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Separate travel entries</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Separate travel entries</w:t>
      </w:r>
    </w:p>
    <w:p>
      <w:r>
        <w:rPr>
          <w:rFonts w:ascii="Segoe UI" w:hAnsi="Segoe UI"/>
          <w:color w:val="19322B"/>
          <w:sz w:val="22"/>
        </w:rPr>
        <w:t xml:space="preserve">Migration </w:t>
      </w:r>
      <w:r>
        <w:rPr>
          <w:rFonts w:ascii="Consolas" w:hAnsi="Consolas"/>
          <w:color w:val="173F35"/>
          <w:sz w:val="20"/>
          <w:shd w:fill="EDF5F1"/>
        </w:rPr>
        <w:t>0040_trip_travel.sql</w:t>
      </w:r>
      <w:r>
        <w:rPr>
          <w:rFonts w:ascii="Segoe UI" w:hAnsi="Segoe UI"/>
          <w:color w:val="19322B"/>
          <w:sz w:val="22"/>
        </w:rPr>
        <w:t xml:space="preserve"> adds an itinerary subtype and arrival date/time/location, travel mode, and service number to </w:t>
      </w:r>
      <w:r>
        <w:rPr>
          <w:rFonts w:ascii="Consolas" w:hAnsi="Consolas"/>
          <w:color w:val="173F35"/>
          <w:sz w:val="20"/>
          <w:shd w:fill="EDF5F1"/>
        </w:rPr>
        <w:t>trip_content</w:t>
      </w:r>
      <w:r>
        <w:rPr>
          <w:rFonts w:ascii="Segoe UI" w:hAnsi="Segoe UI"/>
          <w:color w:val="19322B"/>
          <w:sz w:val="22"/>
        </w:rPr>
        <w:t xml:space="preserve">. Existing entries remain activities. To preserve content IDs and devotional foreign keys without rebuilding the table, storage uses </w:t>
      </w:r>
      <w:r>
        <w:rPr>
          <w:rFonts w:ascii="Consolas" w:hAnsi="Consolas"/>
          <w:color w:val="173F35"/>
          <w:sz w:val="20"/>
          <w:shd w:fill="EDF5F1"/>
        </w:rPr>
        <w:t>content_type=itinerary</w:t>
      </w:r>
      <w:r>
        <w:rPr>
          <w:rFonts w:ascii="Segoe UI" w:hAnsi="Segoe UI"/>
          <w:color w:val="19322B"/>
          <w:sz w:val="22"/>
        </w:rPr>
        <w:t xml:space="preserve"> and </w:t>
      </w:r>
      <w:r>
        <w:rPr>
          <w:rFonts w:ascii="Consolas" w:hAnsi="Consolas"/>
          <w:color w:val="173F35"/>
          <w:sz w:val="20"/>
          <w:shd w:fill="EDF5F1"/>
        </w:rPr>
        <w:t>itinerary_kind=travel</w:t>
      </w:r>
      <w:r>
        <w:rPr>
          <w:rFonts w:ascii="Segoe UI" w:hAnsi="Segoe UI"/>
          <w:color w:val="19322B"/>
          <w:sz w:val="22"/>
        </w:rPr>
        <w:t xml:space="preserve">; the admin and traveler APIs and workbooks expose </w:t>
      </w:r>
      <w:r>
        <w:rPr>
          <w:rFonts w:ascii="Consolas" w:hAnsi="Consolas"/>
          <w:color w:val="173F35"/>
          <w:sz w:val="20"/>
          <w:shd w:fill="EDF5F1"/>
        </w:rPr>
        <w:t>content_type=travel</w:t>
      </w:r>
      <w:r>
        <w:rPr>
          <w:rFonts w:ascii="Segoe UI" w:hAnsi="Segoe UI"/>
          <w:color w:val="19322B"/>
          <w:sz w:val="22"/>
        </w:rPr>
        <w:t>. Saves validate the departure date/location and prohibit public visibility, backed by insert/update triggers. Changing the type away from Travel clears transport fields.</w:t>
      </w:r>
    </w:p>
    <w:p>
      <w:r>
        <w:rPr>
          <w:rFonts w:ascii="Segoe UI" w:hAnsi="Segoe UI"/>
          <w:color w:val="19322B"/>
          <w:sz w:val="22"/>
        </w:rPr>
        <w:t xml:space="preserve">The Content form offers Daily itinerary and Travel (departures and arrivals). </w:t>
      </w:r>
      <w:r>
        <w:rPr>
          <w:rFonts w:ascii="Consolas" w:hAnsi="Consolas"/>
          <w:color w:val="173F35"/>
          <w:sz w:val="20"/>
          <w:shd w:fill="EDF5F1"/>
        </w:rPr>
        <w:t>admin/trips/travel-form.js</w:t>
      </w:r>
      <w:r>
        <w:rPr>
          <w:rFonts w:ascii="Segoe UI" w:hAnsi="Segoe UI"/>
          <w:color w:val="19322B"/>
          <w:sz w:val="22"/>
        </w:rPr>
        <w:t xml:space="preserve"> handles labels, required fields, and visibility; </w:t>
      </w:r>
      <w:r>
        <w:rPr>
          <w:rFonts w:ascii="Consolas" w:hAnsi="Consolas"/>
          <w:color w:val="173F35"/>
          <w:sz w:val="20"/>
          <w:shd w:fill="EDF5F1"/>
        </w:rPr>
        <w:t>journey/travel-details.js</w:t>
      </w:r>
      <w:r>
        <w:rPr>
          <w:rFonts w:ascii="Segoe UI" w:hAnsi="Segoe UI"/>
          <w:color w:val="19322B"/>
          <w:sz w:val="22"/>
        </w:rPr>
        <w:t xml:space="preserve"> renders escaped text for admin, traveler, and offline packet views. Departure and arrival dates/times are local, so no chronological comparison is made across time zones. Workbook exports/imports retain the five additional travel columns. Day planner, reusable templates, and public story selection exclude Travel entries; travelers see a separate Travel section. Apply migration 0040 before deploying the matching application to both isolated environments. Tests cover CRUD, visibility, migration constraints, traveler access, and adjacent trip workflows.</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