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1.4</w:t>
      </w:r>
      <w:r>
        <w:rPr>
          <w:rFonts w:ascii="Segoe UI" w:hAnsi="Segoe UI"/>
          <w:color w:val="D99B42"/>
          <w:sz w:val="20"/>
        </w:rPr>
        <w:t xml:space="preserve">  •  </w:t>
      </w:r>
      <w:r>
        <w:rPr>
          <w:rFonts w:ascii="Segoe UI" w:hAnsi="Segoe UI"/>
          <w:color w:val="60726B"/>
          <w:sz w:val="20"/>
        </w:rPr>
        <w:t>Last reviewed August 23,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to a different D1 database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r>
      <w:tr>
        <w:trPr>
          <w:cantSplit/>
        </w:trPr>
        <w:tc>
          <w:tcPr>
            <w:tcW w:type="dxa" w:w="2100"/>
            <w:vAlign w:val="center"/>
          </w:tcPr>
          <w:p>
            <w:pPr>
              <w:spacing w:before="0" w:after="30" w:line="240" w:lineRule="auto"/>
            </w:pPr>
            <w:r>
              <w:rPr>
                <w:rFonts w:ascii="Segoe UI" w:hAnsi="Segoe UI"/>
                <w:color w:val="19322B"/>
                <w:sz w:val="16"/>
              </w:rPr>
              <w:t>Test</w:t>
            </w:r>
          </w:p>
        </w:tc>
        <w:tc>
          <w:tcPr>
            <w:tcW w:type="dxa" w:w="2500"/>
            <w:vAlign w:val="center"/>
          </w:tcPr>
          <w:p>
            <w:pPr>
              <w:spacing w:before="0" w:after="30" w:line="240" w:lineRule="auto"/>
            </w:pPr>
            <w:r>
              <w:rPr>
                <w:rFonts w:ascii="Consolas" w:hAnsi="Consolas"/>
                <w:color w:val="173F35"/>
                <w:sz w:val="17"/>
                <w:shd w:fill="EDF5F1"/>
              </w:rPr>
              <w:t>hope-sojourns-interest-test</w:t>
            </w:r>
          </w:p>
        </w:tc>
        <w:tc>
          <w:tcPr>
            <w:tcW w:type="dxa" w:w="1580"/>
            <w:vAlign w:val="center"/>
          </w:tcPr>
          <w:p>
            <w:pPr>
              <w:spacing w:before="0" w:after="30" w:line="240" w:lineRule="auto"/>
            </w:pPr>
            <w:r>
              <w:rPr>
                <w:rFonts w:ascii="Consolas" w:hAnsi="Consolas"/>
                <w:color w:val="173F35"/>
                <w:sz w:val="17"/>
                <w:shd w:fill="EDF5F1"/>
              </w:rPr>
              <w:t>test.hopesojourns.com/api/interest/*</w:t>
            </w:r>
          </w:p>
        </w:tc>
        <w:tc>
          <w:tcPr>
            <w:tcW w:type="dxa" w:w="3180"/>
            <w:vAlign w:val="center"/>
          </w:tcPr>
          <w:p>
            <w:pPr>
              <w:spacing w:before="0" w:after="30" w:line="240" w:lineRule="auto"/>
            </w:pPr>
            <w:r>
              <w:rPr>
                <w:rFonts w:ascii="Consolas" w:hAnsi="Consolas"/>
                <w:color w:val="173F35"/>
                <w:sz w:val="17"/>
                <w:shd w:fill="EDF5F1"/>
              </w:rPr>
              <w:t>hope-sojourns-forms-test</w:t>
            </w:r>
          </w:p>
        </w:tc>
      </w:tr>
      <w:tr>
        <w:trPr>
          <w:cantSplit/>
        </w:trPr>
        <w:tc>
          <w:tcPr>
            <w:tcW w:type="dxa" w:w="2100"/>
            <w:vAlign w:val="center"/>
          </w:tcPr>
          <w:p>
            <w:pPr>
              <w:spacing w:before="0" w:after="30" w:line="240" w:lineRule="auto"/>
            </w:pPr>
            <w:r>
              <w:rPr>
                <w:rFonts w:ascii="Segoe UI" w:hAnsi="Segoe UI"/>
                <w:color w:val="19322B"/>
                <w:sz w:val="16"/>
              </w:rPr>
              <w:t>Production</w:t>
            </w:r>
          </w:p>
        </w:tc>
        <w:tc>
          <w:tcPr>
            <w:tcW w:type="dxa" w:w="2500"/>
            <w:vAlign w:val="center"/>
          </w:tcPr>
          <w:p>
            <w:pPr>
              <w:spacing w:before="0" w:after="30" w:line="240" w:lineRule="auto"/>
            </w:pPr>
            <w:r>
              <w:rPr>
                <w:rFonts w:ascii="Consolas" w:hAnsi="Consolas"/>
                <w:color w:val="173F35"/>
                <w:sz w:val="17"/>
                <w:shd w:fill="EDF5F1"/>
              </w:rPr>
              <w:t>hope-sojourns-interest-production</w:t>
            </w:r>
          </w:p>
        </w:tc>
        <w:tc>
          <w:tcPr>
            <w:tcW w:type="dxa" w:w="1580"/>
            <w:vAlign w:val="center"/>
          </w:tcPr>
          <w:p>
            <w:pPr>
              <w:spacing w:before="0" w:after="30" w:line="240" w:lineRule="auto"/>
            </w:pPr>
            <w:r>
              <w:rPr>
                <w:rFonts w:ascii="Consolas" w:hAnsi="Consolas"/>
                <w:color w:val="173F35"/>
                <w:sz w:val="17"/>
                <w:shd w:fill="EDF5F1"/>
              </w:rPr>
              <w:t>hopesojourns.com/api/interest/*</w:t>
            </w:r>
            <w:r>
              <w:rPr>
                <w:rFonts w:ascii="Segoe UI" w:hAnsi="Segoe UI"/>
                <w:color w:val="19322B"/>
                <w:sz w:val="16"/>
              </w:rPr>
              <w:t xml:space="preserve"> and </w:t>
            </w:r>
            <w:r>
              <w:rPr>
                <w:rFonts w:ascii="Consolas" w:hAnsi="Consolas"/>
                <w:color w:val="173F35"/>
                <w:sz w:val="17"/>
                <w:shd w:fill="EDF5F1"/>
              </w:rPr>
              <w:t>www.hopesojourns.com/api/interest/*</w:t>
            </w:r>
          </w:p>
        </w:tc>
        <w:tc>
          <w:tcPr>
            <w:tcW w:type="dxa" w:w="3180"/>
            <w:vAlign w:val="center"/>
          </w:tcPr>
          <w:p>
            <w:pPr>
              <w:spacing w:before="0" w:after="30" w:line="240" w:lineRule="auto"/>
            </w:pPr>
            <w:r>
              <w:rPr>
                <w:rFonts w:ascii="Consolas" w:hAnsi="Consolas"/>
                <w:color w:val="173F35"/>
                <w:sz w:val="17"/>
                <w:shd w:fill="EDF5F1"/>
              </w:rPr>
              <w:t>hope-sojourns-forms-production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or database IDs cross those boundaries. Never copy a test D1 export, backup, credential row, or user-data row into production. Production is initialized only by applying the numbered migrations to its empty database; the migrations seed the legitimate opportunity catalog but no contacts, submissions, teams, ministries, sessions, or administrator credentials.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Next/>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r>
        <w:rPr>
          <w:rFonts w:ascii="Segoe UI" w:hAnsi="Segoe UI"/>
          <w:color w:val="19322B"/>
          <w:sz w:val="22"/>
        </w:rPr>
        <w:t>Do not edit a migration that has already been applied to a shared environment. Add a new numbered migration.</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The portal supports people, submissions, contact editing/import, teams, ministries, internship-toolkit access, replies, status changes, CSV export, and confirmed deletion flows.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Next/>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and deployment commands. Production launch order is: validate isolation, create or verify the production D1 database, apply production migrations, set production-only secrets, dry-run the production Worker, deploy it, publish the production Pages build, and verify both production hostnames. Test data must remain bound only to the test Worker and database.</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