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MMT account and access screens</w:t>
      </w:r>
    </w:p>
    <w:p>
      <w:pPr>
        <w:numPr>
          <w:ilvl w:val="0"/>
          <w:numId w:val="13"/>
        </w:numPr>
        <w:spacing w:before="0" w:after="80" w:line="300" w:lineRule="auto"/>
        <w:ind w:left="540" w:hanging="271"/>
      </w:pPr>
      <w:r>
        <w:rPr>
          <w:rFonts w:ascii="Segoe UI" w:hAnsi="Segoe UI"/>
          <w:color w:val="19322B"/>
          <w:sz w:val="21"/>
        </w:rPr>
        <w:t>Destination management patterns</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