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4.50</w:t>
      </w:r>
      <w:r>
        <w:rPr>
          <w:rFonts w:ascii="Segoe UI" w:hAnsi="Segoe UI"/>
          <w:color w:val="D99B42"/>
          <w:sz w:val="20"/>
        </w:rPr>
        <w:t xml:space="preserve">  •  </w:t>
      </w:r>
      <w:r>
        <w:rPr>
          <w:rFonts w:ascii="Segoe UI" w:hAnsi="Segoe UI"/>
          <w:color w:val="60726B"/>
          <w:sz w:val="20"/>
        </w:rPr>
        <w:t>Last reviewed October 15,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Internship questions and knowledge preview</w:t>
            </w:r>
          </w:p>
          <w:p>
            <w:pPr>
              <w:numPr>
                <w:ilvl w:val="0"/>
                <w:numId w:val="13"/>
              </w:numPr>
              <w:spacing w:before="0" w:after="60" w:line="252" w:lineRule="auto"/>
              <w:ind w:left="540" w:hanging="271"/>
            </w:pPr>
            <w:r>
              <w:rPr>
                <w:rFonts w:ascii="Segoe UI" w:hAnsi="Segoe UI"/>
                <w:color w:val="19322B"/>
                <w:sz w:val="21"/>
              </w:rPr>
              <w:t>Mexico ministry partner recognition</w:t>
            </w:r>
          </w:p>
          <w:p>
            <w:pPr>
              <w:numPr>
                <w:ilvl w:val="0"/>
                <w:numId w:val="13"/>
              </w:numPr>
              <w:spacing w:before="0" w:after="60" w:line="252" w:lineRule="auto"/>
              <w:ind w:left="540" w:hanging="271"/>
            </w:pPr>
            <w:r>
              <w:rPr>
                <w:rFonts w:ascii="Segoe UI" w:hAnsi="Segoe UI"/>
                <w:color w:val="19322B"/>
                <w:sz w:val="21"/>
              </w:rPr>
              <w:t>Ministry home layout</w:t>
            </w:r>
          </w:p>
          <w:p>
            <w:pPr>
              <w:numPr>
                <w:ilvl w:val="0"/>
                <w:numId w:val="13"/>
              </w:numPr>
              <w:spacing w:before="0" w:after="60" w:line="252" w:lineRule="auto"/>
              <w:ind w:left="540" w:hanging="271"/>
            </w:pPr>
            <w:r>
              <w:rPr>
                <w:rFonts w:ascii="Segoe UI" w:hAnsi="Segoe UI"/>
                <w:color w:val="19322B"/>
                <w:sz w:val="21"/>
              </w:rPr>
              <w:t>Payment inbox contact association</w:t>
            </w:r>
          </w:p>
          <w:p>
            <w:pPr>
              <w:numPr>
                <w:ilvl w:val="0"/>
                <w:numId w:val="13"/>
              </w:numPr>
              <w:spacing w:before="0" w:after="60" w:line="252" w:lineRule="auto"/>
              <w:ind w:left="540" w:hanging="271"/>
            </w:pPr>
            <w:r>
              <w:rPr>
                <w:rFonts w:ascii="Segoe UI" w:hAnsi="Segoe UI"/>
                <w:color w:val="19322B"/>
                <w:sz w:val="21"/>
              </w:rPr>
              <w:t>Inquiry follow-up controls</w:t>
            </w:r>
          </w:p>
          <w:p>
            <w:pPr>
              <w:numPr>
                <w:ilvl w:val="0"/>
                <w:numId w:val="13"/>
              </w:numPr>
              <w:spacing w:before="0" w:after="60" w:line="252" w:lineRule="auto"/>
              <w:ind w:left="540" w:hanging="271"/>
            </w:pPr>
            <w:r>
              <w:rPr>
                <w:rFonts w:ascii="Segoe UI" w:hAnsi="Segoe UI"/>
                <w:color w:val="19322B"/>
                <w:sz w:val="21"/>
              </w:rPr>
              <w:t>Home financial summary</w:t>
            </w:r>
          </w:p>
          <w:p>
            <w:pPr>
              <w:numPr>
                <w:ilvl w:val="0"/>
                <w:numId w:val="13"/>
              </w:numPr>
              <w:spacing w:before="0" w:after="60" w:line="252" w:lineRule="auto"/>
              <w:ind w:left="540" w:hanging="271"/>
            </w:pPr>
            <w:r>
              <w:rPr>
                <w:rFonts w:ascii="Segoe UI" w:hAnsi="Segoe UI"/>
                <w:color w:val="19322B"/>
                <w:sz w:val="21"/>
              </w:rPr>
              <w:t>Contact column filters</w:t>
            </w:r>
          </w:p>
          <w:p>
            <w:pPr>
              <w:numPr>
                <w:ilvl w:val="0"/>
                <w:numId w:val="13"/>
              </w:numPr>
              <w:spacing w:before="0" w:after="60" w:line="252" w:lineRule="auto"/>
              <w:ind w:left="540" w:hanging="271"/>
            </w:pPr>
            <w:r>
              <w:rPr>
                <w:rFonts w:ascii="Segoe UI" w:hAnsi="Segoe UI"/>
                <w:color w:val="19322B"/>
                <w:sz w:val="21"/>
              </w:rPr>
              <w:t>Itinerary categories and traveler views</w:t>
            </w:r>
          </w:p>
          <w:p>
            <w:pPr>
              <w:numPr>
                <w:ilvl w:val="0"/>
                <w:numId w:val="13"/>
              </w:numPr>
              <w:spacing w:before="0" w:after="60" w:line="252" w:lineRule="auto"/>
              <w:ind w:left="540" w:hanging="271"/>
            </w:pPr>
            <w:r>
              <w:rPr>
                <w:rFonts w:ascii="Segoe UI" w:hAnsi="Segoe UI"/>
                <w:color w:val="19322B"/>
                <w:sz w:val="21"/>
              </w:rPr>
              <w:t>Scripture reference links and hymns</w:t>
            </w:r>
          </w:p>
          <w:p>
            <w:pPr>
              <w:numPr>
                <w:ilvl w:val="0"/>
                <w:numId w:val="13"/>
              </w:numPr>
              <w:spacing w:before="0" w:after="60" w:line="252" w:lineRule="auto"/>
              <w:ind w:left="540" w:hanging="271"/>
            </w:pPr>
            <w:r>
              <w:rPr>
                <w:rFonts w:ascii="Segoe UI" w:hAnsi="Segoe UI"/>
                <w:color w:val="19322B"/>
                <w:sz w:val="21"/>
              </w:rPr>
              <w:t>Ministry Home presentation</w:t>
            </w:r>
          </w:p>
          <w:p>
            <w:pPr>
              <w:numPr>
                <w:ilvl w:val="0"/>
                <w:numId w:val="13"/>
              </w:numPr>
              <w:spacing w:before="0" w:after="60" w:line="252" w:lineRule="auto"/>
              <w:ind w:left="540" w:hanging="271"/>
            </w:pPr>
            <w:r>
              <w:rPr>
                <w:rFonts w:ascii="Segoe UI" w:hAnsi="Segoe UI"/>
                <w:color w:val="19322B"/>
                <w:sz w:val="21"/>
              </w:rPr>
              <w:t>Finance labels and expense review</w:t>
            </w:r>
          </w:p>
          <w:p>
            <w:pPr>
              <w:numPr>
                <w:ilvl w:val="0"/>
                <w:numId w:val="13"/>
              </w:numPr>
              <w:spacing w:before="0" w:after="60" w:line="252" w:lineRule="auto"/>
              <w:ind w:left="540" w:hanging="271"/>
            </w:pPr>
            <w:r>
              <w:rPr>
                <w:rFonts w:ascii="Segoe UI" w:hAnsi="Segoe UI"/>
                <w:color w:val="19322B"/>
                <w:sz w:val="21"/>
              </w:rPr>
              <w:t>Private user guide and portal footer</w:t>
            </w:r>
          </w:p>
          <w:p>
            <w:pPr>
              <w:numPr>
                <w:ilvl w:val="0"/>
                <w:numId w:val="13"/>
              </w:numPr>
              <w:spacing w:before="0" w:after="60" w:line="252" w:lineRule="auto"/>
              <w:ind w:left="540" w:hanging="271"/>
            </w:pPr>
            <w:r>
              <w:rPr>
                <w:rFonts w:ascii="Segoe UI" w:hAnsi="Segoe UI"/>
                <w:color w:val="19322B"/>
                <w:sz w:val="21"/>
              </w:rPr>
              <w:t>Contact giving history</w:t>
            </w:r>
          </w:p>
          <w:p>
            <w:pPr>
              <w:numPr>
                <w:ilvl w:val="0"/>
                <w:numId w:val="13"/>
              </w:numPr>
              <w:spacing w:before="0" w:after="60" w:line="252" w:lineRule="auto"/>
              <w:ind w:left="540" w:hanging="271"/>
            </w:pPr>
            <w:r>
              <w:rPr>
                <w:rFonts w:ascii="Segoe UI" w:hAnsi="Segoe UI"/>
                <w:color w:val="19322B"/>
                <w:sz w:val="21"/>
              </w:rPr>
              <w:t>Planning workspace and interested submission review</w:t>
            </w:r>
          </w:p>
          <w:p>
            <w:pPr>
              <w:numPr>
                <w:ilvl w:val="0"/>
                <w:numId w:val="13"/>
              </w:numPr>
              <w:spacing w:before="0" w:after="60" w:line="252" w:lineRule="auto"/>
              <w:ind w:left="540" w:hanging="271"/>
            </w:pPr>
            <w:r>
              <w:rPr>
                <w:rFonts w:ascii="Segoe UI" w:hAnsi="Segoe UI"/>
                <w:color w:val="19322B"/>
                <w:sz w:val="21"/>
              </w:rPr>
              <w:t>Trip photos and past trip stories</w:t>
            </w:r>
          </w:p>
          <w:p>
            <w:pPr>
              <w:numPr>
                <w:ilvl w:val="0"/>
                <w:numId w:val="13"/>
              </w:numPr>
              <w:spacing w:before="0" w:after="60" w:line="252" w:lineRule="auto"/>
              <w:ind w:left="540" w:hanging="271"/>
            </w:pPr>
            <w:r>
              <w:rPr>
                <w:rFonts w:ascii="Segoe UI" w:hAnsi="Segoe UI"/>
                <w:color w:val="19322B"/>
                <w:sz w:val="21"/>
              </w:rPr>
              <w:t>Shared MMT navigation</w:t>
            </w:r>
          </w:p>
          <w:p>
            <w:pPr>
              <w:numPr>
                <w:ilvl w:val="0"/>
                <w:numId w:val="13"/>
              </w:numPr>
              <w:spacing w:before="0" w:after="60" w:line="252" w:lineRule="auto"/>
              <w:ind w:left="540" w:hanging="271"/>
            </w:pPr>
            <w:r>
              <w:rPr>
                <w:rFonts w:ascii="Segoe UI" w:hAnsi="Segoe UI"/>
                <w:color w:val="19322B"/>
                <w:sz w:val="21"/>
              </w:rPr>
              <w:t>Devotional library</w:t>
            </w:r>
          </w:p>
          <w:p>
            <w:pPr>
              <w:numPr>
                <w:ilvl w:val="0"/>
                <w:numId w:val="13"/>
              </w:numPr>
              <w:spacing w:before="0" w:after="60" w:line="252" w:lineRule="auto"/>
              <w:ind w:left="540" w:hanging="271"/>
            </w:pPr>
            <w:r>
              <w:rPr>
                <w:rFonts w:ascii="Segoe UI" w:hAnsi="Segoe UI"/>
                <w:color w:val="19322B"/>
                <w:sz w:val="21"/>
              </w:rPr>
              <w:t>Collapsible devotional days</w:t>
            </w:r>
          </w:p>
          <w:p>
            <w:pPr>
              <w:numPr>
                <w:ilvl w:val="0"/>
                <w:numId w:val="13"/>
              </w:numPr>
              <w:spacing w:before="0" w:after="60" w:line="252" w:lineRule="auto"/>
              <w:ind w:left="540" w:hanging="271"/>
            </w:pPr>
            <w:r>
              <w:rPr>
                <w:rFonts w:ascii="Segoe UI" w:hAnsi="Segoe UI"/>
                <w:color w:val="19322B"/>
                <w:sz w:val="21"/>
              </w:rPr>
              <w:t>Traveler study typography</w:t>
            </w:r>
          </w:p>
          <w:p>
            <w:pPr>
              <w:numPr>
                <w:ilvl w:val="0"/>
                <w:numId w:val="13"/>
              </w:numPr>
              <w:spacing w:before="0" w:after="60" w:line="252" w:lineRule="auto"/>
              <w:ind w:left="540" w:hanging="271"/>
            </w:pPr>
            <w:r>
              <w:rPr>
                <w:rFonts w:ascii="Segoe UI" w:hAnsi="Segoe UI"/>
                <w:color w:val="19322B"/>
                <w:sz w:val="21"/>
              </w:rPr>
              <w:t>Dated trip preview layout</w:t>
            </w:r>
          </w:p>
          <w:p>
            <w:pPr>
              <w:numPr>
                <w:ilvl w:val="0"/>
                <w:numId w:val="13"/>
              </w:numPr>
              <w:spacing w:before="0" w:after="60" w:line="252" w:lineRule="auto"/>
              <w:ind w:left="540" w:hanging="271"/>
            </w:pPr>
            <w:r>
              <w:rPr>
                <w:rFonts w:ascii="Segoe UI" w:hAnsi="Segoe UI"/>
                <w:color w:val="19322B"/>
                <w:sz w:val="21"/>
              </w:rPr>
              <w:t>Current shared trip password</w:t>
            </w:r>
          </w:p>
          <w:p>
            <w:pPr>
              <w:numPr>
                <w:ilvl w:val="0"/>
                <w:numId w:val="13"/>
              </w:numPr>
              <w:spacing w:before="0" w:after="60" w:line="252" w:lineRule="auto"/>
              <w:ind w:left="540" w:hanging="271"/>
            </w:pPr>
            <w:r>
              <w:rPr>
                <w:rFonts w:ascii="Segoe UI" w:hAnsi="Segoe UI"/>
                <w:color w:val="19322B"/>
                <w:sz w:val="21"/>
              </w:rPr>
              <w:t>Inbox completion and trash</w:t>
            </w:r>
          </w:p>
          <w:p>
            <w:pPr>
              <w:numPr>
                <w:ilvl w:val="0"/>
                <w:numId w:val="13"/>
              </w:numPr>
              <w:spacing w:before="0" w:after="60" w:line="252" w:lineRule="auto"/>
              <w:ind w:left="540" w:hanging="271"/>
            </w:pPr>
            <w:r>
              <w:rPr>
                <w:rFonts w:ascii="Segoe UI" w:hAnsi="Segoe UI"/>
                <w:color w:val="19322B"/>
                <w:sz w:val="21"/>
              </w:rPr>
              <w:t>Contact directory and spreadsheet</w:t>
            </w:r>
          </w:p>
          <w:p>
            <w:pPr>
              <w:numPr>
                <w:ilvl w:val="0"/>
                <w:numId w:val="13"/>
              </w:numPr>
              <w:spacing w:before="0" w:after="60" w:line="252" w:lineRule="auto"/>
              <w:ind w:left="540" w:hanging="271"/>
            </w:pPr>
            <w:r>
              <w:rPr>
                <w:rFonts w:ascii="Segoe UI" w:hAnsi="Segoe UI"/>
                <w:color w:val="19322B"/>
                <w:sz w:val="21"/>
              </w:rPr>
              <w:t>Trip budget comparison and bulk editing</w:t>
            </w:r>
          </w:p>
          <w:p>
            <w:pPr>
              <w:numPr>
                <w:ilvl w:val="0"/>
                <w:numId w:val="13"/>
              </w:numPr>
              <w:spacing w:before="0" w:after="60" w:line="252" w:lineRule="auto"/>
              <w:ind w:left="540" w:hanging="271"/>
            </w:pPr>
            <w:r>
              <w:rPr>
                <w:rFonts w:ascii="Segoe UI" w:hAnsi="Segoe UI"/>
                <w:color w:val="19322B"/>
                <w:sz w:val="21"/>
              </w:rPr>
              <w:t>Shared portal account management</w:t>
            </w:r>
          </w:p>
          <w:p>
            <w:pPr>
              <w:numPr>
                <w:ilvl w:val="0"/>
                <w:numId w:val="13"/>
              </w:numPr>
              <w:spacing w:before="0" w:after="60" w:line="252" w:lineRule="auto"/>
              <w:ind w:left="540" w:hanging="271"/>
            </w:pPr>
            <w:r>
              <w:rPr>
                <w:rFonts w:ascii="Segoe UI" w:hAnsi="Segoe UI"/>
                <w:color w:val="19322B"/>
                <w:sz w:val="21"/>
              </w:rPr>
              <w:t>Donation split editor</w:t>
            </w:r>
          </w:p>
          <w:p>
            <w:pPr>
              <w:numPr>
                <w:ilvl w:val="0"/>
                <w:numId w:val="13"/>
              </w:numPr>
              <w:spacing w:before="0" w:after="60" w:line="252" w:lineRule="auto"/>
              <w:ind w:left="540" w:hanging="271"/>
            </w:pPr>
            <w:r>
              <w:rPr>
                <w:rFonts w:ascii="Segoe UI" w:hAnsi="Segoe UI"/>
                <w:color w:val="19322B"/>
                <w:sz w:val="21"/>
              </w:rPr>
              <w:t>MMT account and access screens</w:t>
            </w:r>
          </w:p>
          <w:p>
            <w:pPr>
              <w:numPr>
                <w:ilvl w:val="0"/>
                <w:numId w:val="13"/>
              </w:numPr>
              <w:spacing w:before="0" w:after="60" w:line="252" w:lineRule="auto"/>
              <w:ind w:left="540" w:hanging="271"/>
            </w:pPr>
            <w:r>
              <w:rPr>
                <w:rFonts w:ascii="Segoe UI" w:hAnsi="Segoe UI"/>
                <w:color w:val="19322B"/>
                <w:sz w:val="21"/>
              </w:rPr>
              <w:t>Destination management patterns</w:t>
            </w:r>
          </w:p>
          <w:p>
            <w:pPr>
              <w:numPr>
                <w:ilvl w:val="0"/>
                <w:numId w:val="13"/>
              </w:numPr>
              <w:spacing w:before="0" w:after="60" w:line="252" w:lineRule="auto"/>
              <w:ind w:left="540" w:hanging="271"/>
            </w:pPr>
            <w:r>
              <w:rPr>
                <w:rFonts w:ascii="Segoe UI" w:hAnsi="Segoe UI"/>
                <w:color w:val="19322B"/>
                <w:sz w:val="21"/>
              </w:rPr>
              <w:t>Purpose</w:t>
            </w:r>
          </w:p>
        </w:tc>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Canonical design sources</w:t>
            </w:r>
          </w:p>
          <w:p>
            <w:pPr>
              <w:numPr>
                <w:ilvl w:val="0"/>
                <w:numId w:val="13"/>
              </w:numPr>
              <w:spacing w:before="0" w:after="60" w:line="252" w:lineRule="auto"/>
              <w:ind w:left="540" w:hanging="271"/>
            </w:pPr>
            <w:r>
              <w:rPr>
                <w:rFonts w:ascii="Segoe UI" w:hAnsi="Segoe UI"/>
                <w:color w:val="19322B"/>
                <w:sz w:val="21"/>
              </w:rPr>
              <w:t>Brand foundation</w:t>
            </w:r>
          </w:p>
          <w:p>
            <w:pPr>
              <w:numPr>
                <w:ilvl w:val="0"/>
                <w:numId w:val="13"/>
              </w:numPr>
              <w:spacing w:before="0" w:after="60" w:line="252" w:lineRule="auto"/>
              <w:ind w:left="540" w:hanging="271"/>
            </w:pPr>
            <w:r>
              <w:rPr>
                <w:rFonts w:ascii="Segoe UI" w:hAnsi="Segoe UI"/>
                <w:color w:val="19322B"/>
                <w:sz w:val="21"/>
              </w:rPr>
              <w:t>Logo system</w:t>
            </w:r>
          </w:p>
          <w:p>
            <w:pPr>
              <w:numPr>
                <w:ilvl w:val="0"/>
                <w:numId w:val="13"/>
              </w:numPr>
              <w:spacing w:before="0" w:after="60" w:line="252" w:lineRule="auto"/>
              <w:ind w:left="540" w:hanging="271"/>
            </w:pPr>
            <w:r>
              <w:rPr>
                <w:rFonts w:ascii="Segoe UI" w:hAnsi="Segoe UI"/>
                <w:color w:val="19322B"/>
                <w:sz w:val="21"/>
              </w:rPr>
              <w:t>Color system</w:t>
            </w:r>
          </w:p>
          <w:p>
            <w:pPr>
              <w:numPr>
                <w:ilvl w:val="0"/>
                <w:numId w:val="13"/>
              </w:numPr>
              <w:spacing w:before="0" w:after="60" w:line="252" w:lineRule="auto"/>
              <w:ind w:left="540" w:hanging="271"/>
            </w:pPr>
            <w:r>
              <w:rPr>
                <w:rFonts w:ascii="Segoe UI" w:hAnsi="Segoe UI"/>
                <w:color w:val="19322B"/>
                <w:sz w:val="21"/>
              </w:rPr>
              <w:t>Typography</w:t>
            </w:r>
          </w:p>
          <w:p>
            <w:pPr>
              <w:numPr>
                <w:ilvl w:val="0"/>
                <w:numId w:val="13"/>
              </w:numPr>
              <w:spacing w:before="0" w:after="60" w:line="252" w:lineRule="auto"/>
              <w:ind w:left="540" w:hanging="271"/>
            </w:pPr>
            <w:r>
              <w:rPr>
                <w:rFonts w:ascii="Segoe UI" w:hAnsi="Segoe UI"/>
                <w:color w:val="19322B"/>
                <w:sz w:val="21"/>
              </w:rPr>
              <w:t>Layout and spacing</w:t>
            </w:r>
          </w:p>
          <w:p>
            <w:pPr>
              <w:numPr>
                <w:ilvl w:val="0"/>
                <w:numId w:val="13"/>
              </w:numPr>
              <w:spacing w:before="0" w:after="60" w:line="252" w:lineRule="auto"/>
              <w:ind w:left="540" w:hanging="271"/>
            </w:pPr>
            <w:r>
              <w:rPr>
                <w:rFonts w:ascii="Segoe UI" w:hAnsi="Segoe UI"/>
                <w:color w:val="19322B"/>
                <w:sz w:val="21"/>
              </w:rPr>
              <w:t>Core components</w:t>
            </w:r>
          </w:p>
          <w:p>
            <w:pPr>
              <w:numPr>
                <w:ilvl w:val="0"/>
                <w:numId w:val="13"/>
              </w:numPr>
              <w:spacing w:before="0" w:after="60" w:line="252" w:lineRule="auto"/>
              <w:ind w:left="540" w:hanging="271"/>
            </w:pPr>
            <w:r>
              <w:rPr>
                <w:rFonts w:ascii="Segoe UI" w:hAnsi="Segoe UI"/>
                <w:color w:val="19322B"/>
                <w:sz w:val="21"/>
              </w:rPr>
              <w:t>Photography and media</w:t>
            </w:r>
          </w:p>
          <w:p>
            <w:pPr>
              <w:numPr>
                <w:ilvl w:val="0"/>
                <w:numId w:val="13"/>
              </w:numPr>
              <w:spacing w:before="0" w:after="60" w:line="252" w:lineRule="auto"/>
              <w:ind w:left="540" w:hanging="271"/>
            </w:pPr>
            <w:r>
              <w:rPr>
                <w:rFonts w:ascii="Segoe UI" w:hAnsi="Segoe UI"/>
                <w:color w:val="19322B"/>
                <w:sz w:val="21"/>
              </w:rPr>
              <w:t>Voice and content standards</w:t>
            </w:r>
          </w:p>
          <w:p>
            <w:pPr>
              <w:numPr>
                <w:ilvl w:val="0"/>
                <w:numId w:val="13"/>
              </w:numPr>
              <w:spacing w:before="0" w:after="60" w:line="252" w:lineRule="auto"/>
              <w:ind w:left="540" w:hanging="271"/>
            </w:pPr>
            <w:r>
              <w:rPr>
                <w:rFonts w:ascii="Segoe UI" w:hAnsi="Segoe UI"/>
                <w:color w:val="19322B"/>
                <w:sz w:val="21"/>
              </w:rPr>
              <w:t>Accessibility standards</w:t>
            </w:r>
          </w:p>
          <w:p>
            <w:pPr>
              <w:numPr>
                <w:ilvl w:val="0"/>
                <w:numId w:val="13"/>
              </w:numPr>
              <w:spacing w:before="0" w:after="60" w:line="252" w:lineRule="auto"/>
              <w:ind w:left="540" w:hanging="271"/>
            </w:pPr>
            <w:r>
              <w:rPr>
                <w:rFonts w:ascii="Segoe UI" w:hAnsi="Segoe UI"/>
                <w:color w:val="19322B"/>
                <w:sz w:val="21"/>
              </w:rPr>
              <w:t>Motion standards</w:t>
            </w:r>
          </w:p>
          <w:p>
            <w:pPr>
              <w:numPr>
                <w:ilvl w:val="0"/>
                <w:numId w:val="13"/>
              </w:numPr>
              <w:spacing w:before="0" w:after="60" w:line="252" w:lineRule="auto"/>
              <w:ind w:left="540" w:hanging="271"/>
            </w:pPr>
            <w:r>
              <w:rPr>
                <w:rFonts w:ascii="Segoe UI" w:hAnsi="Segoe UI"/>
                <w:color w:val="19322B"/>
                <w:sz w:val="21"/>
              </w:rPr>
              <w:t>New page checklist</w:t>
            </w:r>
          </w:p>
          <w:p>
            <w:pPr>
              <w:numPr>
                <w:ilvl w:val="0"/>
                <w:numId w:val="13"/>
              </w:numPr>
              <w:spacing w:before="0" w:after="60" w:line="252" w:lineRule="auto"/>
              <w:ind w:left="540" w:hanging="271"/>
            </w:pPr>
            <w:r>
              <w:rPr>
                <w:rFonts w:ascii="Segoe UI" w:hAnsi="Segoe UI"/>
                <w:color w:val="19322B"/>
                <w:sz w:val="21"/>
              </w:rPr>
              <w:t>Governance</w:t>
            </w:r>
          </w:p>
          <w:p>
            <w:pPr>
              <w:numPr>
                <w:ilvl w:val="0"/>
                <w:numId w:val="13"/>
              </w:numPr>
              <w:spacing w:before="0" w:after="60" w:line="252" w:lineRule="auto"/>
              <w:ind w:left="540" w:hanging="271"/>
            </w:pPr>
            <w:r>
              <w:rPr>
                <w:rFonts w:ascii="Segoe UI" w:hAnsi="Segoe UI"/>
                <w:color w:val="19322B"/>
                <w:sz w:val="21"/>
              </w:rPr>
              <w:t>Ministry Management interface</w:t>
            </w:r>
          </w:p>
          <w:p>
            <w:pPr>
              <w:numPr>
                <w:ilvl w:val="0"/>
                <w:numId w:val="13"/>
              </w:numPr>
              <w:spacing w:before="0" w:after="60" w:line="252" w:lineRule="auto"/>
              <w:ind w:left="540" w:hanging="271"/>
            </w:pPr>
            <w:r>
              <w:rPr>
                <w:rFonts w:ascii="Segoe UI" w:hAnsi="Segoe UI"/>
                <w:color w:val="19322B"/>
                <w:sz w:val="21"/>
              </w:rPr>
              <w:t>Expanded bookkeeping screens</w:t>
            </w:r>
          </w:p>
          <w:p>
            <w:pPr>
              <w:numPr>
                <w:ilvl w:val="0"/>
                <w:numId w:val="13"/>
              </w:numPr>
              <w:spacing w:before="0" w:after="60" w:line="252" w:lineRule="auto"/>
              <w:ind w:left="540" w:hanging="271"/>
            </w:pPr>
            <w:r>
              <w:rPr>
                <w:rFonts w:ascii="Segoe UI" w:hAnsi="Segoe UI"/>
                <w:color w:val="19322B"/>
                <w:sz w:val="21"/>
              </w:rPr>
              <w:t>User deletion</w:t>
            </w:r>
          </w:p>
          <w:p>
            <w:pPr>
              <w:numPr>
                <w:ilvl w:val="0"/>
                <w:numId w:val="13"/>
              </w:numPr>
              <w:spacing w:before="0" w:after="60" w:line="252" w:lineRule="auto"/>
              <w:ind w:left="540" w:hanging="271"/>
            </w:pPr>
            <w:r>
              <w:rPr>
                <w:rFonts w:ascii="Segoe UI" w:hAnsi="Segoe UI"/>
                <w:color w:val="19322B"/>
                <w:sz w:val="21"/>
              </w:rPr>
              <w:t>Personally received gift presentation</w:t>
            </w:r>
          </w:p>
          <w:p>
            <w:pPr>
              <w:numPr>
                <w:ilvl w:val="0"/>
                <w:numId w:val="13"/>
              </w:numPr>
              <w:spacing w:before="0" w:after="60" w:line="252" w:lineRule="auto"/>
              <w:ind w:left="540" w:hanging="271"/>
            </w:pPr>
            <w:r>
              <w:rPr>
                <w:rFonts w:ascii="Segoe UI" w:hAnsi="Segoe UI"/>
                <w:color w:val="19322B"/>
                <w:sz w:val="21"/>
              </w:rPr>
              <w:t>Traveling trips and public follow-along</w:t>
            </w:r>
          </w:p>
          <w:p>
            <w:pPr>
              <w:numPr>
                <w:ilvl w:val="0"/>
                <w:numId w:val="13"/>
              </w:numPr>
              <w:spacing w:before="0" w:after="60" w:line="252" w:lineRule="auto"/>
              <w:ind w:left="540" w:hanging="271"/>
            </w:pPr>
            <w:r>
              <w:rPr>
                <w:rFonts w:ascii="Segoe UI" w:hAnsi="Segoe UI"/>
                <w:color w:val="19322B"/>
                <w:sz w:val="21"/>
              </w:rPr>
              <w:t>Gift thank-you email acknowledgments</w:t>
            </w:r>
          </w:p>
          <w:p>
            <w:pPr>
              <w:numPr>
                <w:ilvl w:val="0"/>
                <w:numId w:val="13"/>
              </w:numPr>
              <w:spacing w:before="0" w:after="60" w:line="252" w:lineRule="auto"/>
              <w:ind w:left="540" w:hanging="271"/>
            </w:pPr>
            <w:r>
              <w:rPr>
                <w:rFonts w:ascii="Segoe UI" w:hAnsi="Segoe UI"/>
                <w:color w:val="19322B"/>
                <w:sz w:val="21"/>
              </w:rPr>
              <w:t>Story preview presentation</w:t>
            </w:r>
          </w:p>
          <w:p>
            <w:pPr>
              <w:numPr>
                <w:ilvl w:val="0"/>
                <w:numId w:val="13"/>
              </w:numPr>
              <w:spacing w:before="0" w:after="60" w:line="252" w:lineRule="auto"/>
              <w:ind w:left="540" w:hanging="271"/>
            </w:pPr>
            <w:r>
              <w:rPr>
                <w:rFonts w:ascii="Segoe UI" w:hAnsi="Segoe UI"/>
                <w:color w:val="19322B"/>
                <w:sz w:val="21"/>
              </w:rPr>
              <w:t>Related contact card</w:t>
            </w:r>
          </w:p>
          <w:p>
            <w:pPr>
              <w:numPr>
                <w:ilvl w:val="0"/>
                <w:numId w:val="13"/>
              </w:numPr>
              <w:spacing w:before="0" w:after="60" w:line="252" w:lineRule="auto"/>
              <w:ind w:left="540" w:hanging="271"/>
            </w:pPr>
            <w:r>
              <w:rPr>
                <w:rFonts w:ascii="Segoe UI" w:hAnsi="Segoe UI"/>
                <w:color w:val="19322B"/>
                <w:sz w:val="21"/>
              </w:rPr>
              <w:t>Book reading pages</w:t>
            </w:r>
          </w:p>
          <w:p>
            <w:pPr>
              <w:numPr>
                <w:ilvl w:val="0"/>
                <w:numId w:val="13"/>
              </w:numPr>
              <w:spacing w:before="0" w:after="60" w:line="252" w:lineRule="auto"/>
              <w:ind w:left="540" w:hanging="271"/>
            </w:pPr>
            <w:r>
              <w:rPr>
                <w:rFonts w:ascii="Segoe UI" w:hAnsi="Segoe UI"/>
                <w:color w:val="19322B"/>
                <w:sz w:val="21"/>
              </w:rPr>
              <w:t>Managed contact access categories</w:t>
            </w:r>
          </w:p>
          <w:p>
            <w:pPr>
              <w:numPr>
                <w:ilvl w:val="0"/>
                <w:numId w:val="13"/>
              </w:numPr>
              <w:spacing w:before="0" w:after="60" w:line="252" w:lineRule="auto"/>
              <w:ind w:left="540" w:hanging="271"/>
            </w:pPr>
            <w:r>
              <w:rPr>
                <w:rFonts w:ascii="Segoe UI" w:hAnsi="Segoe UI"/>
                <w:color w:val="19322B"/>
                <w:sz w:val="21"/>
              </w:rPr>
              <w:t>Three ways to serve in the local preview</w:t>
            </w:r>
          </w:p>
          <w:p>
            <w:pPr>
              <w:numPr>
                <w:ilvl w:val="0"/>
                <w:numId w:val="13"/>
              </w:numPr>
              <w:spacing w:before="0" w:after="60" w:line="252" w:lineRule="auto"/>
              <w:ind w:left="540" w:hanging="271"/>
            </w:pPr>
            <w:r>
              <w:rPr>
                <w:rFonts w:ascii="Segoe UI" w:hAnsi="Segoe UI"/>
                <w:color w:val="19322B"/>
                <w:sz w:val="21"/>
              </w:rPr>
              <w:t>Production-margin comparison</w:t>
            </w:r>
          </w:p>
          <w:p>
            <w:pPr>
              <w:numPr>
                <w:ilvl w:val="0"/>
                <w:numId w:val="13"/>
              </w:numPr>
              <w:spacing w:before="0" w:after="60" w:line="252" w:lineRule="auto"/>
              <w:ind w:left="540" w:hanging="271"/>
            </w:pPr>
            <w:r>
              <w:rPr>
                <w:rFonts w:ascii="Segoe UI" w:hAnsi="Segoe UI"/>
                <w:color w:val="19322B"/>
                <w:sz w:val="21"/>
              </w:rPr>
              <w:t>Completed-trip traveler portal navigation</w:t>
            </w:r>
          </w:p>
          <w:p>
            <w:pPr>
              <w:numPr>
                <w:ilvl w:val="0"/>
                <w:numId w:val="13"/>
              </w:numPr>
              <w:spacing w:before="0" w:after="60" w:line="252" w:lineRule="auto"/>
              <w:ind w:left="540" w:hanging="271"/>
            </w:pPr>
            <w:r>
              <w:rPr>
                <w:rFonts w:ascii="Segoe UI" w:hAnsi="Segoe UI"/>
                <w:color w:val="19322B"/>
                <w:sz w:val="21"/>
              </w:rPr>
              <w:t>Public trip journal before photos</w:t>
            </w:r>
          </w:p>
          <w:p>
            <w:pPr>
              <w:numPr>
                <w:ilvl w:val="0"/>
                <w:numId w:val="13"/>
              </w:numPr>
              <w:spacing w:before="0" w:after="60" w:line="252" w:lineRule="auto"/>
              <w:ind w:left="540" w:hanging="271"/>
            </w:pPr>
            <w:r>
              <w:rPr>
                <w:rFonts w:ascii="Segoe UI" w:hAnsi="Segoe UI"/>
                <w:color w:val="19322B"/>
                <w:sz w:val="21"/>
              </w:rPr>
              <w:t>Revision history</w:t>
            </w:r>
          </w:p>
        </w:tc>
      </w:tr>
    </w:tbl>
    <w:p>
      <w:pPr>
        <w:pStyle w:val="Heading1"/>
        <w:pageBreakBefore/>
      </w:pPr>
      <w:r>
        <w:rPr>
          <w:rFonts w:ascii="Georgia" w:hAnsi="Georgia"/>
          <w:b/>
          <w:color w:val="173F35"/>
          <w:sz w:val="32"/>
        </w:rPr>
        <w:t>Internship questions and knowledge preview</w:t>
      </w:r>
    </w:p>
    <w:p>
      <w:r>
        <w:rPr>
          <w:rFonts w:ascii="Segoe UI" w:hAnsi="Segoe UI"/>
          <w:color w:val="19322B"/>
          <w:sz w:val="22"/>
        </w:rPr>
        <w:t>The interactive mock preview starts with six fictional answer topics and example FAQ counts. Display SAMPLE ANSWER beside every fictional conversational response and Fictional sample on sample FAQs. Keep the sample-mode checkbox visible and explain that disabling it hides the fictional corpus and counts. Never present mock content as an interview transcript or a verified commitment. Clear my demo restores the fictional starter content; voice remains disabled.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The preview comparison adds an Internship knowledge assistant tile linking to </w:t>
      </w:r>
      <w:r>
        <w:rPr>
          <w:rFonts w:ascii="Consolas" w:hAnsi="Consolas"/>
          <w:color w:val="173F35"/>
          <w:sz w:val="20"/>
          <w:shd w:fill="EDF5F1"/>
        </w:rPr>
        <w:t>/intern-assistant/</w:t>
      </w:r>
      <w:r>
        <w:rPr>
          <w:rFonts w:ascii="Segoe UI" w:hAnsi="Segoe UI"/>
          <w:color w:val="19322B"/>
          <w:sz w:val="22"/>
        </w:rPr>
        <w:t>. Use the existing forest, paper, cream, gold, and coral tokens with Georgia headings and system body text. The internship landing page pairs an uncropped, proportionally scaled Athens photograph with the invitation. On wide screens, the question panel stays beside the content; below 950 pixels it becomes a normal full-width section before video and FAQ content. Video files load only after an explicit Load video action. The ministry selector and Ask about this video controls set a visible context label; Back to general internships clears it.</w:t>
      </w:r>
    </w:p>
    <w:p>
      <w:r>
        <w:rPr>
          <w:rFonts w:ascii="Segoe UI" w:hAnsi="Segoe UI"/>
          <w:color w:val="19322B"/>
          <w:sz w:val="22"/>
        </w:rPr>
        <w:t>Keep the working-preview notice, source-lookup limitation, missing-transcript notice, and browser-only review explanation visible. Show citations beside answers and separate feedback from reuse approval and FAQ publication. Do not imply that a role selector supplies real authentication. Disabled microphone controls say later; typed questions remain usable. Use explicit labels, focus outlines, semantic status/log regions, wrapping controls, and reduced-motion support. The source and review forms render user text as text, not HTML. Searchable FAQs explain ranking, pins, counting window, and anonymous-count limitations. This is preview only, using no new palette token or live portal layout change.</w:t>
      </w:r>
    </w:p>
    <w:p>
      <w:pPr>
        <w:pStyle w:val="Heading1"/>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full-size photos and videos in the shared popup.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the shared media popup. Photo buttons have an accessible full-size label.</w:t>
      </w:r>
    </w:p>
    <w:p>
      <w:r>
        <w:rPr>
          <w:rFonts w:ascii="Segoe UI" w:hAnsi="Segoe UI"/>
          <w:color w:val="19322B"/>
          <w:sz w:val="22"/>
        </w:rPr>
        <w:t>Photos and videos share a keyboard-accessible popup across traveler galleries, public dated trip pages, past-trip stories, and staff story previews. Keep the complete image or video frame visible with proportional contain sizing. Provide a sticky heading and Close button, Previous and Next controls, an item counter, captions, and credits. Navigation follows the displayed mixed-media gallery and wraps at either end. Left and Right arrows navigate unless video controls have focus; Escape closes. Pause and unload a video when leaving it, lock background scrolling while open, and restore focus to the original tile when closed. Use existing palette tokens and comfortable touch targets.</w:t>
      </w:r>
    </w:p>
    <w:p>
      <w:r>
        <w:rPr>
          <w:rFonts w:ascii="Segoe UI" w:hAnsi="Segoe UI"/>
          <w:color w:val="19322B"/>
          <w:sz w:val="22"/>
        </w:rPr>
        <w:t>Continue playback automatically only between explicitly numbered parts of the same recording, for example “Light Group interview — Part 1 of 3” followed by Part 2 of 3 on the same date. Stop after the final part or when the next part is missing or ambiguous. Do not turn the mixed gallery into a slideshow: photos and unrelated videos retain manual navigation. At the bottom of the popup, show the italic, parenthesized note “(The next segment will play automatically when this one ends.)” only when a matching next segment is available. Continue to update the heading, caption, credit, and announced item counter when a part changes; keep the existing Close and Previous/Next controls and video playback fallback. This local behavior change is pending release.</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Public trip journal before photos</w:t>
      </w:r>
    </w:p>
    <w:p>
      <w:r>
        <w:rPr>
          <w:rFonts w:ascii="Segoe UI" w:hAnsi="Segoe UI"/>
          <w:color w:val="19322B"/>
          <w:sz w:val="22"/>
        </w:rPr>
        <w:t>On the public dated trip page, show Notes from the journey before the photo/video gallery so followers can read daily reflections before browsing images. Keep the existing typography, cards, and spacing. Traveler collections and reviewed past-trip stories retain their existing section order.</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15, 2026 — Version 4.50.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4.49. Documented the preview internship question panel, contextual video controls, review and FAQ presentation, privacy/limitations, and responsive behavior. Preview only.</w:t>
      </w:r>
    </w:p>
    <w:p>
      <w:pPr>
        <w:keepNext/>
        <w:keepLines/>
        <w:numPr>
          <w:ilvl w:val="0"/>
          <w:numId w:val="10"/>
        </w:numPr>
        <w:spacing w:before="0" w:after="80" w:line="300" w:lineRule="auto"/>
        <w:ind w:left="540" w:hanging="271"/>
      </w:pPr>
      <w:r>
        <w:rPr>
          <w:rFonts w:ascii="Segoe UI" w:hAnsi="Segoe UI"/>
          <w:color w:val="19322B"/>
          <w:sz w:val="22"/>
        </w:rPr>
        <w:t>October 15, 2026 — Version 4.48. Documented automatic continuation only within numbered parts of one recording, with manual photo and unrelated-video navigation retained and an italic continuation note in the popup.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4.47. Added the shared full-size photo/video popup, Close and Previous/Next controls, keyboard navigation, complete-image display, and mobile layout. Technical Word guides use a two-column map for long section lists to avoid nearly empty spillover pages.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4.46.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24, 2026</w:t>
            </w:r>
          </w:p>
        </w:tc>
        <w:tc>
          <w:tcPr>
            <w:tcW w:type="dxa" w:w="3580"/>
            <w:vAlign w:val="center"/>
          </w:tcPr>
          <w:p>
            <w:pPr>
              <w:spacing w:before="0" w:after="0" w:line="240" w:lineRule="auto"/>
            </w:pPr>
            <w:r>
              <w:rPr>
                <w:rFonts w:ascii="Segoe UI" w:hAnsi="Segoe UI"/>
                <w:color w:val="19322B"/>
                <w:sz w:val="16"/>
              </w:rPr>
              <w:t>4.13</w:t>
            </w:r>
          </w:p>
        </w:tc>
        <w:tc>
          <w:tcPr>
            <w:tcW w:type="dxa" w:w="3580"/>
            <w:vAlign w:val="center"/>
          </w:tcPr>
          <w:p>
            <w:pPr>
              <w:spacing w:before="0" w:after="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0" w:line="240" w:lineRule="auto"/>
            </w:pPr>
            <w:r>
              <w:rPr>
                <w:rFonts w:ascii="Segoe UI" w:hAnsi="Segoe UI"/>
                <w:color w:val="19322B"/>
                <w:sz w:val="16"/>
              </w:rPr>
              <w:t>2026-09-04</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