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3.4</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Lines/>
        <w:numPr>
          <w:ilvl w:val="0"/>
          <w:numId w:val="15"/>
        </w:numPr>
        <w:spacing w:before="0" w:after="80" w:line="300" w:lineRule="auto"/>
        <w:ind w:left="540" w:hanging="271"/>
      </w:pPr>
      <w:r>
        <w:rPr>
          <w:rFonts w:ascii="Consolas" w:hAnsi="Consolas"/>
          <w:color w:val="173F35"/>
          <w:sz w:val="20"/>
          <w:shd w:fill="EDF5F1"/>
        </w:rPr>
        <w:t>0015_trip_bulk_imports.sql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changed data that reuses an earlier ref. The supported sheets are Team, Partners, Content, Accounts, Budget, Allocations, Charges, Support, Payments, and Invites; Instructions and blank sheets are ignored. Import order resolves accounts before budget items, then allocations, charges, support, and payments. People are referenced by email; Ministries, cost categories, and funding sources by normalized name; dependent trip records by their workbook Import Ref.</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changed rows as conflicts.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