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4.8.0</w:t>
      </w:r>
      <w:r>
        <w:rPr>
          <w:rFonts w:ascii="Segoe UI" w:hAnsi="Segoe UI"/>
          <w:color w:val="D99B42"/>
          <w:sz w:val="20"/>
        </w:rPr>
        <w:t xml:space="preserve">  •  </w:t>
      </w:r>
      <w:r>
        <w:rPr>
          <w:rFonts w:ascii="Segoe UI" w:hAnsi="Segoe UI"/>
          <w:color w:val="60726B"/>
          <w:sz w:val="20"/>
        </w:rPr>
        <w:t>Last reviewed September 22,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40" w:line="240" w:lineRule="auto"/>
        <w:ind w:left="540" w:hanging="271"/>
      </w:pPr>
      <w:r>
        <w:rPr>
          <w:rFonts w:ascii="Segoe UI" w:hAnsi="Segoe UI"/>
          <w:color w:val="19322B"/>
          <w:sz w:val="21"/>
        </w:rPr>
        <w:t>Trip memories and public trip stories</w:t>
      </w:r>
    </w:p>
    <w:p>
      <w:pPr>
        <w:numPr>
          <w:ilvl w:val="0"/>
          <w:numId w:val="13"/>
        </w:numPr>
        <w:spacing w:before="0" w:after="40" w:line="240" w:lineRule="auto"/>
        <w:ind w:left="540" w:hanging="271"/>
      </w:pPr>
      <w:r>
        <w:rPr>
          <w:rFonts w:ascii="Segoe UI" w:hAnsi="Segoe UI"/>
          <w:color w:val="19322B"/>
          <w:sz w:val="21"/>
        </w:rPr>
        <w:t>Shared MMT navigation</w:t>
      </w:r>
    </w:p>
    <w:p>
      <w:pPr>
        <w:numPr>
          <w:ilvl w:val="0"/>
          <w:numId w:val="13"/>
        </w:numPr>
        <w:spacing w:before="0" w:after="40" w:line="240" w:lineRule="auto"/>
        <w:ind w:left="540" w:hanging="271"/>
      </w:pPr>
      <w:r>
        <w:rPr>
          <w:rFonts w:ascii="Segoe UI" w:hAnsi="Segoe UI"/>
          <w:color w:val="19322B"/>
          <w:sz w:val="21"/>
        </w:rPr>
        <w:t>Devotional library</w:t>
      </w:r>
    </w:p>
    <w:p>
      <w:pPr>
        <w:numPr>
          <w:ilvl w:val="0"/>
          <w:numId w:val="13"/>
        </w:numPr>
        <w:spacing w:before="0" w:after="40" w:line="240" w:lineRule="auto"/>
        <w:ind w:left="540" w:hanging="271"/>
      </w:pPr>
      <w:r>
        <w:rPr>
          <w:rFonts w:ascii="Segoe UI" w:hAnsi="Segoe UI"/>
          <w:color w:val="19322B"/>
          <w:sz w:val="21"/>
        </w:rPr>
        <w:t>Devotional day navigation</w:t>
      </w:r>
    </w:p>
    <w:p>
      <w:pPr>
        <w:numPr>
          <w:ilvl w:val="0"/>
          <w:numId w:val="13"/>
        </w:numPr>
        <w:spacing w:before="0" w:after="40" w:line="240" w:lineRule="auto"/>
        <w:ind w:left="540" w:hanging="271"/>
      </w:pPr>
      <w:r>
        <w:rPr>
          <w:rFonts w:ascii="Segoe UI" w:hAnsi="Segoe UI"/>
          <w:color w:val="19322B"/>
          <w:sz w:val="21"/>
        </w:rPr>
        <w:t>Traveler study formatting</w:t>
      </w:r>
    </w:p>
    <w:p>
      <w:pPr>
        <w:numPr>
          <w:ilvl w:val="0"/>
          <w:numId w:val="13"/>
        </w:numPr>
        <w:spacing w:before="0" w:after="40" w:line="240" w:lineRule="auto"/>
        <w:ind w:left="540" w:hanging="271"/>
      </w:pPr>
      <w:r>
        <w:rPr>
          <w:rFonts w:ascii="Segoe UI" w:hAnsi="Segoe UI"/>
          <w:color w:val="19322B"/>
          <w:sz w:val="21"/>
        </w:rPr>
        <w:t>Dated trip preview layout</w:t>
      </w:r>
    </w:p>
    <w:p>
      <w:pPr>
        <w:numPr>
          <w:ilvl w:val="0"/>
          <w:numId w:val="13"/>
        </w:numPr>
        <w:spacing w:before="0" w:after="40" w:line="240" w:lineRule="auto"/>
        <w:ind w:left="540" w:hanging="271"/>
      </w:pPr>
      <w:r>
        <w:rPr>
          <w:rFonts w:ascii="Segoe UI" w:hAnsi="Segoe UI"/>
          <w:color w:val="19322B"/>
          <w:sz w:val="21"/>
        </w:rPr>
        <w:t>Shared trip password display</w:t>
      </w:r>
    </w:p>
    <w:p>
      <w:pPr>
        <w:numPr>
          <w:ilvl w:val="0"/>
          <w:numId w:val="13"/>
        </w:numPr>
        <w:spacing w:before="0" w:after="40" w:line="240" w:lineRule="auto"/>
        <w:ind w:left="540" w:hanging="271"/>
      </w:pPr>
      <w:r>
        <w:rPr>
          <w:rFonts w:ascii="Segoe UI" w:hAnsi="Segoe UI"/>
          <w:color w:val="19322B"/>
          <w:sz w:val="21"/>
        </w:rPr>
        <w:t>Inbox completion and trash</w:t>
      </w:r>
    </w:p>
    <w:p>
      <w:pPr>
        <w:numPr>
          <w:ilvl w:val="0"/>
          <w:numId w:val="13"/>
        </w:numPr>
        <w:spacing w:before="0" w:after="40" w:line="240" w:lineRule="auto"/>
        <w:ind w:left="540" w:hanging="271"/>
      </w:pPr>
      <w:r>
        <w:rPr>
          <w:rFonts w:ascii="Segoe UI" w:hAnsi="Segoe UI"/>
          <w:color w:val="19322B"/>
          <w:sz w:val="21"/>
        </w:rPr>
        <w:t>Contact directory and spreadsheet</w:t>
      </w:r>
    </w:p>
    <w:p>
      <w:pPr>
        <w:numPr>
          <w:ilvl w:val="0"/>
          <w:numId w:val="13"/>
        </w:numPr>
        <w:spacing w:before="0" w:after="40" w:line="240" w:lineRule="auto"/>
        <w:ind w:left="540" w:hanging="271"/>
      </w:pPr>
      <w:r>
        <w:rPr>
          <w:rFonts w:ascii="Segoe UI" w:hAnsi="Segoe UI"/>
          <w:color w:val="19322B"/>
          <w:sz w:val="21"/>
        </w:rPr>
        <w:t>Trip budget funding and bulk updates</w:t>
      </w:r>
    </w:p>
    <w:p>
      <w:pPr>
        <w:numPr>
          <w:ilvl w:val="0"/>
          <w:numId w:val="13"/>
        </w:numPr>
        <w:spacing w:before="0" w:after="40" w:line="240" w:lineRule="auto"/>
        <w:ind w:left="540" w:hanging="271"/>
      </w:pPr>
      <w:r>
        <w:rPr>
          <w:rFonts w:ascii="Segoe UI" w:hAnsi="Segoe UI"/>
          <w:color w:val="19322B"/>
          <w:sz w:val="21"/>
        </w:rPr>
        <w:t>Shared HS and CSM accounts</w:t>
      </w:r>
    </w:p>
    <w:p>
      <w:pPr>
        <w:numPr>
          <w:ilvl w:val="0"/>
          <w:numId w:val="13"/>
        </w:numPr>
        <w:spacing w:before="0" w:after="40" w:line="240" w:lineRule="auto"/>
        <w:ind w:left="540" w:hanging="271"/>
      </w:pPr>
      <w:r>
        <w:rPr>
          <w:rFonts w:ascii="Segoe UI" w:hAnsi="Segoe UI"/>
          <w:color w:val="19322B"/>
          <w:sz w:val="21"/>
        </w:rPr>
        <w:t>Donation allocations</w:t>
      </w:r>
    </w:p>
    <w:p>
      <w:pPr>
        <w:numPr>
          <w:ilvl w:val="0"/>
          <w:numId w:val="13"/>
        </w:numPr>
        <w:spacing w:before="0" w:after="40" w:line="240" w:lineRule="auto"/>
        <w:ind w:left="540" w:hanging="271"/>
      </w:pPr>
      <w:r>
        <w:rPr>
          <w:rFonts w:ascii="Segoe UI" w:hAnsi="Segoe UI"/>
          <w:color w:val="19322B"/>
          <w:sz w:val="21"/>
        </w:rPr>
        <w:t>Individual MMT accounts and phone storage</w:t>
      </w:r>
    </w:p>
    <w:p>
      <w:pPr>
        <w:numPr>
          <w:ilvl w:val="0"/>
          <w:numId w:val="13"/>
        </w:numPr>
        <w:spacing w:before="0" w:after="40" w:line="240" w:lineRule="auto"/>
        <w:ind w:left="540" w:hanging="271"/>
      </w:pPr>
      <w:r>
        <w:rPr>
          <w:rFonts w:ascii="Segoe UI" w:hAnsi="Segoe UI"/>
          <w:color w:val="19322B"/>
          <w:sz w:val="21"/>
        </w:rPr>
        <w:t>Managed public destinations</w:t>
      </w:r>
    </w:p>
    <w:p>
      <w:pPr>
        <w:numPr>
          <w:ilvl w:val="0"/>
          <w:numId w:val="13"/>
        </w:numPr>
        <w:spacing w:before="0" w:after="40" w:line="240" w:lineRule="auto"/>
        <w:ind w:left="540" w:hanging="271"/>
      </w:pPr>
      <w:r>
        <w:rPr>
          <w:rFonts w:ascii="Segoe UI" w:hAnsi="Segoe UI"/>
          <w:color w:val="19322B"/>
          <w:sz w:val="21"/>
        </w:rPr>
        <w:t>Purpose and operating rules</w:t>
      </w:r>
    </w:p>
    <w:p>
      <w:pPr>
        <w:numPr>
          <w:ilvl w:val="0"/>
          <w:numId w:val="13"/>
        </w:numPr>
        <w:spacing w:before="0" w:after="40" w:line="240" w:lineRule="auto"/>
        <w:ind w:left="540" w:hanging="271"/>
      </w:pPr>
      <w:r>
        <w:rPr>
          <w:rFonts w:ascii="Segoe UI" w:hAnsi="Segoe UI"/>
          <w:color w:val="19322B"/>
          <w:sz w:val="21"/>
        </w:rPr>
        <w:t>System overview</w:t>
      </w:r>
    </w:p>
    <w:p>
      <w:pPr>
        <w:numPr>
          <w:ilvl w:val="0"/>
          <w:numId w:val="13"/>
        </w:numPr>
        <w:spacing w:before="0" w:after="40" w:line="240" w:lineRule="auto"/>
        <w:ind w:left="540" w:hanging="271"/>
      </w:pPr>
      <w:r>
        <w:rPr>
          <w:rFonts w:ascii="Segoe UI" w:hAnsi="Segoe UI"/>
          <w:color w:val="19322B"/>
          <w:sz w:val="21"/>
        </w:rPr>
        <w:t>Important locations</w:t>
      </w:r>
    </w:p>
    <w:p>
      <w:pPr>
        <w:numPr>
          <w:ilvl w:val="0"/>
          <w:numId w:val="13"/>
        </w:numPr>
        <w:spacing w:before="0" w:after="40" w:line="240" w:lineRule="auto"/>
        <w:ind w:left="540" w:hanging="271"/>
      </w:pPr>
      <w:r>
        <w:rPr>
          <w:rFonts w:ascii="Segoe UI" w:hAnsi="Segoe UI"/>
          <w:color w:val="19322B"/>
          <w:sz w:val="21"/>
        </w:rPr>
        <w:t>Public route inventory</w:t>
      </w:r>
    </w:p>
    <w:p>
      <w:pPr>
        <w:numPr>
          <w:ilvl w:val="0"/>
          <w:numId w:val="13"/>
        </w:numPr>
        <w:spacing w:before="0" w:after="40" w:line="240" w:lineRule="auto"/>
        <w:ind w:left="540" w:hanging="271"/>
      </w:pPr>
      <w:r>
        <w:rPr>
          <w:rFonts w:ascii="Segoe UI" w:hAnsi="Segoe UI"/>
          <w:color w:val="19322B"/>
          <w:sz w:val="21"/>
        </w:rPr>
        <w:t>Shared frontend architecture</w:t>
      </w:r>
    </w:p>
    <w:p>
      <w:pPr>
        <w:numPr>
          <w:ilvl w:val="0"/>
          <w:numId w:val="13"/>
        </w:numPr>
        <w:spacing w:before="0" w:after="40" w:line="240" w:lineRule="auto"/>
        <w:ind w:left="540" w:hanging="271"/>
      </w:pPr>
      <w:r>
        <w:rPr>
          <w:rFonts w:ascii="Segoe UI" w:hAnsi="Segoe UI"/>
          <w:color w:val="19322B"/>
          <w:sz w:val="21"/>
        </w:rPr>
        <w:t>Content and data files</w:t>
      </w:r>
    </w:p>
    <w:p>
      <w:pPr>
        <w:numPr>
          <w:ilvl w:val="0"/>
          <w:numId w:val="13"/>
        </w:numPr>
        <w:spacing w:before="0" w:after="40" w:line="240" w:lineRule="auto"/>
        <w:ind w:left="540" w:hanging="271"/>
      </w:pPr>
      <w:r>
        <w:rPr>
          <w:rFonts w:ascii="Segoe UI" w:hAnsi="Segoe UI"/>
          <w:color w:val="19322B"/>
          <w:sz w:val="21"/>
        </w:rPr>
        <w:t>Interest form and response portal</w:t>
      </w:r>
    </w:p>
    <w:p>
      <w:pPr>
        <w:numPr>
          <w:ilvl w:val="0"/>
          <w:numId w:val="13"/>
        </w:numPr>
        <w:spacing w:before="0" w:after="40" w:line="240" w:lineRule="auto"/>
        <w:ind w:left="540" w:hanging="271"/>
      </w:pPr>
      <w:r>
        <w:rPr>
          <w:rFonts w:ascii="Segoe UI" w:hAnsi="Segoe UI"/>
          <w:color w:val="19322B"/>
          <w:sz w:val="21"/>
        </w:rPr>
        <w:t>Giving and PayPal</w:t>
      </w:r>
    </w:p>
    <w:p>
      <w:pPr>
        <w:numPr>
          <w:ilvl w:val="0"/>
          <w:numId w:val="13"/>
        </w:numPr>
        <w:spacing w:before="0" w:after="40" w:line="240" w:lineRule="auto"/>
        <w:ind w:left="540" w:hanging="271"/>
      </w:pPr>
      <w:r>
        <w:rPr>
          <w:rFonts w:ascii="Segoe UI" w:hAnsi="Segoe UI"/>
          <w:color w:val="19322B"/>
          <w:sz w:val="21"/>
        </w:rPr>
        <w:t>Scheduling</w:t>
      </w:r>
    </w:p>
    <w:p>
      <w:pPr>
        <w:numPr>
          <w:ilvl w:val="0"/>
          <w:numId w:val="13"/>
        </w:numPr>
        <w:spacing w:before="0" w:after="40" w:line="240" w:lineRule="auto"/>
        <w:ind w:left="540" w:hanging="271"/>
      </w:pPr>
      <w:r>
        <w:rPr>
          <w:rFonts w:ascii="Segoe UI" w:hAnsi="Segoe UI"/>
          <w:color w:val="19322B"/>
          <w:sz w:val="21"/>
        </w:rPr>
        <w:t>Local development</w:t>
      </w:r>
    </w:p>
    <w:p>
      <w:pPr>
        <w:numPr>
          <w:ilvl w:val="0"/>
          <w:numId w:val="13"/>
        </w:numPr>
        <w:spacing w:before="0" w:after="40" w:line="240" w:lineRule="auto"/>
        <w:ind w:left="540" w:hanging="271"/>
      </w:pPr>
      <w:r>
        <w:rPr>
          <w:rFonts w:ascii="Segoe UI" w:hAnsi="Segoe UI"/>
          <w:color w:val="19322B"/>
          <w:sz w:val="21"/>
        </w:rPr>
        <w:t>Validation standards</w:t>
      </w:r>
    </w:p>
    <w:p>
      <w:pPr>
        <w:numPr>
          <w:ilvl w:val="0"/>
          <w:numId w:val="13"/>
        </w:numPr>
        <w:spacing w:before="0" w:after="40" w:line="240" w:lineRule="auto"/>
        <w:ind w:left="540" w:hanging="271"/>
      </w:pPr>
      <w:r>
        <w:rPr>
          <w:rFonts w:ascii="Segoe UI" w:hAnsi="Segoe UI"/>
          <w:color w:val="19322B"/>
          <w:sz w:val="21"/>
        </w:rPr>
        <w:t>Common change workflows</w:t>
      </w:r>
    </w:p>
    <w:p>
      <w:pPr>
        <w:numPr>
          <w:ilvl w:val="0"/>
          <w:numId w:val="13"/>
        </w:numPr>
        <w:spacing w:before="0" w:after="40" w:line="240" w:lineRule="auto"/>
        <w:ind w:left="540" w:hanging="271"/>
      </w:pPr>
      <w:r>
        <w:rPr>
          <w:rFonts w:ascii="Segoe UI" w:hAnsi="Segoe UI"/>
          <w:color w:val="19322B"/>
          <w:sz w:val="21"/>
        </w:rPr>
        <w:t>Security and privacy rules</w:t>
      </w:r>
    </w:p>
    <w:p>
      <w:pPr>
        <w:numPr>
          <w:ilvl w:val="0"/>
          <w:numId w:val="13"/>
        </w:numPr>
        <w:spacing w:before="0" w:after="40" w:line="240" w:lineRule="auto"/>
        <w:ind w:left="540" w:hanging="271"/>
      </w:pPr>
      <w:r>
        <w:rPr>
          <w:rFonts w:ascii="Segoe UI" w:hAnsi="Segoe UI"/>
          <w:color w:val="19322B"/>
          <w:sz w:val="21"/>
        </w:rPr>
        <w:t>Deployment boundaries</w:t>
      </w:r>
    </w:p>
    <w:p>
      <w:pPr>
        <w:numPr>
          <w:ilvl w:val="0"/>
          <w:numId w:val="13"/>
        </w:numPr>
        <w:spacing w:before="0" w:after="40" w:line="240" w:lineRule="auto"/>
        <w:ind w:left="540" w:hanging="271"/>
      </w:pPr>
      <w:r>
        <w:rPr>
          <w:rFonts w:ascii="Segoe UI" w:hAnsi="Segoe UI"/>
          <w:color w:val="19322B"/>
          <w:sz w:val="21"/>
        </w:rPr>
        <w:t>Documentation maintenance</w:t>
      </w:r>
    </w:p>
    <w:p>
      <w:pPr>
        <w:numPr>
          <w:ilvl w:val="0"/>
          <w:numId w:val="13"/>
        </w:numPr>
        <w:spacing w:before="0" w:after="40" w:line="240" w:lineRule="auto"/>
        <w:ind w:left="540" w:hanging="271"/>
      </w:pPr>
      <w:r>
        <w:rPr>
          <w:rFonts w:ascii="Segoe UI" w:hAnsi="Segoe UI"/>
          <w:color w:val="19322B"/>
          <w:sz w:val="21"/>
        </w:rPr>
        <w:t>Handoff checklist</w:t>
      </w:r>
    </w:p>
    <w:p>
      <w:pPr>
        <w:numPr>
          <w:ilvl w:val="0"/>
          <w:numId w:val="13"/>
        </w:numPr>
        <w:spacing w:before="0" w:after="40" w:line="240" w:lineRule="auto"/>
        <w:ind w:left="540" w:hanging="271"/>
      </w:pPr>
      <w:r>
        <w:rPr>
          <w:rFonts w:ascii="Segoe UI" w:hAnsi="Segoe UI"/>
          <w:color w:val="19322B"/>
          <w:sz w:val="21"/>
        </w:rPr>
        <w:t>Ministry Management workspace</w:t>
      </w:r>
    </w:p>
    <w:p>
      <w:pPr>
        <w:numPr>
          <w:ilvl w:val="0"/>
          <w:numId w:val="13"/>
        </w:numPr>
        <w:spacing w:before="0" w:after="40" w:line="240" w:lineRule="auto"/>
        <w:ind w:left="540" w:hanging="271"/>
      </w:pPr>
      <w:r>
        <w:rPr>
          <w:rFonts w:ascii="Segoe UI" w:hAnsi="Segoe UI"/>
          <w:color w:val="19322B"/>
          <w:sz w:val="21"/>
        </w:rPr>
        <w:t>Expanded bookkeeping workspace</w:t>
      </w:r>
    </w:p>
    <w:p>
      <w:pPr>
        <w:numPr>
          <w:ilvl w:val="0"/>
          <w:numId w:val="13"/>
        </w:numPr>
        <w:spacing w:before="0" w:after="40" w:line="240" w:lineRule="auto"/>
        <w:ind w:left="540" w:hanging="271"/>
      </w:pPr>
      <w:r>
        <w:rPr>
          <w:rFonts w:ascii="Segoe UI" w:hAnsi="Segoe UI"/>
          <w:color w:val="19322B"/>
          <w:sz w:val="21"/>
        </w:rPr>
        <w:t>User deletion</w:t>
      </w:r>
    </w:p>
    <w:p>
      <w:pPr>
        <w:numPr>
          <w:ilvl w:val="0"/>
          <w:numId w:val="13"/>
        </w:numPr>
        <w:spacing w:before="0" w:after="4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Trip memories and public trip stories</w:t>
      </w:r>
    </w:p>
    <w:p>
      <w:r>
        <w:rPr>
          <w:rFonts w:ascii="Segoe UI" w:hAnsi="Segoe UI"/>
          <w:color w:val="19322B"/>
          <w:sz w:val="22"/>
        </w:rPr>
        <w:t>This locally prepared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157 tests.</w:t>
      </w:r>
    </w:p>
    <w:p>
      <w:r>
        <w:rPr>
          <w:rFonts w:ascii="Segoe UI" w:hAnsi="Segoe UI"/>
          <w:color w:val="19322B"/>
          <w:sz w:val="22"/>
        </w:rPr>
        <w:t>Release requires explicit user authorization. Apply migration 0032 before deploying the Worker and Pages bundle. No production migration or deployment has been performed for this revision. Use the existing static build allowlist; never include local preview fixtures or QA outputs.</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both scripts and the journey stylesheet use asset version </w:t>
      </w:r>
      <w:r>
        <w:rPr>
          <w:rFonts w:ascii="Consolas" w:hAnsi="Consolas"/>
          <w:color w:val="173F35"/>
          <w:sz w:val="20"/>
          <w:shd w:fill="EDF5F1"/>
        </w:rPr>
        <w:t>2026-09-21.1</w:t>
      </w:r>
      <w:r>
        <w:rPr>
          <w:rFonts w:ascii="Segoe UI" w:hAnsi="Segoe UI"/>
          <w:color w:val="19322B"/>
          <w:sz w:val="22"/>
        </w:rPr>
        <w:t xml:space="preserve">. Render saved content with DOM creation and textContent, never innerHTML.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become descriptive HTTPS links with noopener and noreferrer;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No database migration, record rewrite, visibility change, or publication action is required. Existing drafts gain the formatting when normally published. The typography update was deployed September 21, 2026 as Pages deployment 7f15e692.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now checks the requested trip before rendering an existing session. Admin portal links include the stable tripId as well as the shared login ID. A different trip presents the requested login instead of displaying the previous trip. Successful sign-in verifies the returned session against the login response and updates the URL with its trip ID. Regression coverage includes mismatched sessions, matching trips, custom login IDs, and direct portal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