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1.8</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Spreadsheet imports require a preview with separate counts for new entries, exact duplicates, sequence conflicts, and rows needing correction. The final action must state that only new rows will be imported.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Next/>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