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4.4.2</w:t>
      </w:r>
      <w:r>
        <w:rPr>
          <w:rFonts w:ascii="Segoe UI" w:hAnsi="Segoe UI"/>
          <w:color w:val="D99B42"/>
          <w:sz w:val="20"/>
        </w:rPr>
        <w:t xml:space="preserve">  •  </w:t>
      </w:r>
      <w:r>
        <w:rPr>
          <w:rFonts w:ascii="Segoe UI" w:hAnsi="Segoe UI"/>
          <w:color w:val="60726B"/>
          <w:sz w:val="20"/>
        </w:rPr>
        <w:t>Last reviewed September 17,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Individual MMT accounts and phone storage</w:t>
      </w:r>
    </w:p>
    <w:p>
      <w:pPr>
        <w:numPr>
          <w:ilvl w:val="0"/>
          <w:numId w:val="13"/>
        </w:numPr>
        <w:spacing w:before="0" w:after="80" w:line="300" w:lineRule="auto"/>
        <w:ind w:left="540" w:hanging="271"/>
      </w:pPr>
      <w:r>
        <w:rPr>
          <w:rFonts w:ascii="Segoe UI" w:hAnsi="Segoe UI"/>
          <w:color w:val="19322B"/>
          <w:sz w:val="21"/>
        </w:rPr>
        <w:t>Managed public destinations</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Ministry Management workspace</w:t>
      </w:r>
    </w:p>
    <w:p>
      <w:pPr>
        <w:numPr>
          <w:ilvl w:val="0"/>
          <w:numId w:val="13"/>
        </w:numPr>
        <w:spacing w:before="0" w:after="80" w:line="300" w:lineRule="auto"/>
        <w:ind w:left="540" w:hanging="271"/>
      </w:pPr>
      <w:r>
        <w:rPr>
          <w:rFonts w:ascii="Segoe UI" w:hAnsi="Segoe UI"/>
          <w:color w:val="19322B"/>
          <w:sz w:val="21"/>
        </w:rPr>
        <w:t>Expanded bookkeeping workspace</w:t>
      </w:r>
    </w:p>
    <w:p>
      <w:pPr>
        <w:numPr>
          <w:ilvl w:val="0"/>
          <w:numId w:val="13"/>
        </w:numPr>
        <w:spacing w:before="0" w:after="80" w:line="300" w:lineRule="auto"/>
        <w:ind w:left="540" w:hanging="271"/>
      </w:pPr>
      <w:r>
        <w:rPr>
          <w:rFonts w:ascii="Segoe UI" w:hAnsi="Segoe UI"/>
          <w:color w:val="19322B"/>
          <w:sz w:val="21"/>
        </w:rPr>
        <w:t>User deletion</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Individual MMT accounts and phone storage</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reject redirects, use a per-token idempotency key, and do not automatically retry or fall back to another provider.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failed trip messages, incomplete budgets, and extensible ministry events. Source records determine action status; the inbox does not post a second payment. Current lists are bounded to 250 recent requests, payments, and custom events, and 100 failed messages and incomplete budgets.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its username and email cannot be reused. The existing last-administrator protection remains active. This deletion feature is local pending a separately authorized release.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