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4.87</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Public corporate journeys and leadership curriculum</w:t>
            </w:r>
          </w:p>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group email</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Public corporate journeys and leadership curriculum</w:t>
      </w:r>
    </w:p>
    <w:p>
      <w:r>
        <w:rPr>
          <w:rFonts w:ascii="Consolas" w:hAnsi="Consolas"/>
          <w:color w:val="173F35"/>
          <w:sz w:val="20"/>
          <w:shd w:fill="EDF5F1"/>
        </w:rPr>
        <w:t>index.html</w:t>
      </w:r>
      <w:r>
        <w:rPr>
          <w:rFonts w:ascii="Segoe UI" w:hAnsi="Segoe UI"/>
          <w:color w:val="19322B"/>
          <w:sz w:val="22"/>
        </w:rPr>
        <w:t xml:space="preserve"> presents three service offerings before mission destinations and links to </w:t>
      </w:r>
      <w:r>
        <w:rPr>
          <w:rFonts w:ascii="Consolas" w:hAnsi="Consolas"/>
          <w:color w:val="173F35"/>
          <w:sz w:val="20"/>
          <w:shd w:fill="EDF5F1"/>
        </w:rPr>
        <w:t>/corporate-journeys/</w:t>
      </w:r>
      <w:r>
        <w:rPr>
          <w:rFonts w:ascii="Segoe UI" w:hAnsi="Segoe UI"/>
          <w:color w:val="19322B"/>
          <w:sz w:val="22"/>
        </w:rPr>
        <w:t xml:space="preserve">. The new corporate landing page and </w:t>
      </w:r>
      <w:r>
        <w:rPr>
          <w:rFonts w:ascii="Consolas" w:hAnsi="Consolas"/>
          <w:color w:val="173F35"/>
          <w:sz w:val="20"/>
          <w:shd w:fill="EDF5F1"/>
        </w:rPr>
        <w:t>/corporate-journeys/curriculum/</w:t>
      </w:r>
      <w:r>
        <w:rPr>
          <w:rFonts w:ascii="Segoe UI" w:hAnsi="Segoe UI"/>
          <w:color w:val="19322B"/>
          <w:sz w:val="22"/>
        </w:rPr>
        <w:t xml:space="preserve"> are static HTML served with shared </w:t>
      </w:r>
      <w:r>
        <w:rPr>
          <w:rFonts w:ascii="Consolas" w:hAnsi="Consolas"/>
          <w:color w:val="173F35"/>
          <w:sz w:val="20"/>
          <w:shd w:fill="EDF5F1"/>
        </w:rPr>
        <w:t>/styles.css</w:t>
      </w:r>
      <w:r>
        <w:rPr>
          <w:rFonts w:ascii="Segoe UI" w:hAnsi="Segoe UI"/>
          <w:color w:val="19322B"/>
          <w:sz w:val="22"/>
        </w:rPr>
        <w:t xml:space="preserve"> and </w:t>
      </w:r>
      <w:r>
        <w:rPr>
          <w:rFonts w:ascii="Consolas" w:hAnsi="Consolas"/>
          <w:color w:val="173F35"/>
          <w:sz w:val="20"/>
          <w:shd w:fill="EDF5F1"/>
        </w:rPr>
        <w:t>/script.js</w:t>
      </w:r>
      <w:r>
        <w:rPr>
          <w:rFonts w:ascii="Segoe UI" w:hAnsi="Segoe UI"/>
          <w:color w:val="19322B"/>
          <w:sz w:val="22"/>
        </w:rPr>
        <w:t xml:space="preserve">. The curriculum HTML is the maintained public source; it contains eight 90-minute modules, facilitator preparation, executive scenarios, a 90-day plan, and voluntary feedback guidance. It introduces no registration, stored journals, new forms, or external services. Planning links use the existing </w:t>
      </w:r>
      <w:r>
        <w:rPr>
          <w:rFonts w:ascii="Consolas" w:hAnsi="Consolas"/>
          <w:color w:val="173F35"/>
          <w:sz w:val="20"/>
          <w:shd w:fill="EDF5F1"/>
        </w:rPr>
        <w:t>/schedule/</w:t>
      </w:r>
      <w:r>
        <w:rPr>
          <w:rFonts w:ascii="Segoe UI" w:hAnsi="Segoe UI"/>
          <w:color w:val="19322B"/>
          <w:sz w:val="22"/>
        </w:rPr>
        <w:t xml:space="preserve"> route.</w:t>
      </w:r>
    </w:p>
    <w:p>
      <w:r>
        <w:rPr>
          <w:rFonts w:ascii="Consolas" w:hAnsi="Consolas"/>
          <w:color w:val="173F35"/>
          <w:sz w:val="20"/>
          <w:shd w:fill="EDF5F1"/>
        </w:rPr>
        <w:t>script.js</w:t>
      </w:r>
      <w:r>
        <w:rPr>
          <w:rFonts w:ascii="Segoe UI" w:hAnsi="Segoe UI"/>
          <w:color w:val="19322B"/>
          <w:sz w:val="22"/>
        </w:rPr>
        <w:t xml:space="preserve"> supplies corporate navigation, the expanded footer, and independent expandable card groups. Initialize each </w:t>
      </w:r>
      <w:r>
        <w:rPr>
          <w:rFonts w:ascii="Consolas" w:hAnsi="Consolas"/>
          <w:color w:val="173F35"/>
          <w:sz w:val="20"/>
          <w:shd w:fill="EDF5F1"/>
        </w:rPr>
        <w:t>.approach-tabs</w:t>
      </w:r>
      <w:r>
        <w:rPr>
          <w:rFonts w:ascii="Segoe UI" w:hAnsi="Segoe UI"/>
          <w:color w:val="19322B"/>
          <w:sz w:val="22"/>
        </w:rPr>
        <w:t xml:space="preserve"> group within its own section; never query all panels globally. The service group controls </w:t>
      </w:r>
      <w:r>
        <w:rPr>
          <w:rFonts w:ascii="Consolas" w:hAnsi="Consolas"/>
          <w:color w:val="173F35"/>
          <w:sz w:val="20"/>
          <w:shd w:fill="EDF5F1"/>
        </w:rPr>
        <w:t>path-detail-shell</w:t>
      </w:r>
      <w:r>
        <w:rPr>
          <w:rFonts w:ascii="Segoe UI" w:hAnsi="Segoe UI"/>
          <w:color w:val="19322B"/>
          <w:sz w:val="22"/>
        </w:rPr>
        <w:t>; Our approach retains its separate shell. Switching cards shows one panel, while Minimize and Escape collapse only that group and return focus. Hidden shells are inert. Validate group independence, panel switching, keyboard activation, focus restoration, equal desktop heights, and mobile overflow.</w:t>
      </w:r>
    </w:p>
    <w:p>
      <w:r>
        <w:rPr>
          <w:rFonts w:ascii="Segoe UI" w:hAnsi="Segoe UI"/>
          <w:color w:val="19322B"/>
          <w:sz w:val="22"/>
        </w:rPr>
        <w:t xml:space="preserve">Service and corporate styles use scoped classes; navigation gap/wrap applies across the public site. The labeled collage is </w:t>
      </w:r>
      <w:r>
        <w:rPr>
          <w:rFonts w:ascii="Consolas" w:hAnsi="Consolas"/>
          <w:color w:val="173F35"/>
          <w:sz w:val="20"/>
          <w:shd w:fill="EDF5F1"/>
        </w:rPr>
        <w:t>assets/journey-collage-labeled.png</w:t>
      </w:r>
      <w:r>
        <w:rPr>
          <w:rFonts w:ascii="Segoe UI" w:hAnsi="Segoe UI"/>
          <w:color w:val="19322B"/>
          <w:sz w:val="22"/>
        </w:rPr>
        <w:t xml:space="preserve">, displayed proportionally with source attribution. Its Halifax panel uses </w:t>
      </w:r>
      <w:r>
        <w:rPr>
          <w:rFonts w:ascii="Consolas" w:hAnsi="Consolas"/>
          <w:color w:val="173F35"/>
          <w:sz w:val="20"/>
          <w:shd w:fill="EDF5F1"/>
        </w:rPr>
        <w:t>assets/halifax-england-beacon-hill.jpg</w:t>
      </w:r>
      <w:r>
        <w:rPr>
          <w:rFonts w:ascii="Segoe UI" w:hAnsi="Segoe UI"/>
          <w:color w:val="19322B"/>
          <w:sz w:val="22"/>
        </w:rPr>
        <w:t xml:space="preserve"> by Tim Green, CC BY 2.0; source metadata is in </w:t>
      </w:r>
      <w:r>
        <w:rPr>
          <w:rFonts w:ascii="Consolas" w:hAnsi="Consolas"/>
          <w:color w:val="173F35"/>
          <w:sz w:val="20"/>
          <w:shd w:fill="EDF5F1"/>
        </w:rPr>
        <w:t>docs/content/journey-collage-sources.json</w:t>
      </w:r>
      <w:r>
        <w:rPr>
          <w:rFonts w:ascii="Segoe UI" w:hAnsi="Segoe UI"/>
          <w:color w:val="19322B"/>
          <w:sz w:val="22"/>
        </w:rPr>
        <w:t xml:space="preserve">. </w:t>
      </w:r>
      <w:r>
        <w:rPr>
          <w:rFonts w:ascii="Consolas" w:hAnsi="Consolas"/>
          <w:color w:val="173F35"/>
          <w:sz w:val="20"/>
          <w:shd w:fill="EDF5F1"/>
        </w:rPr>
        <w:t>cloudflare/build-test-site.mjs</w:t>
      </w:r>
      <w:r>
        <w:rPr>
          <w:rFonts w:ascii="Segoe UI" w:hAnsi="Segoe UI"/>
          <w:color w:val="19322B"/>
          <w:sz w:val="22"/>
        </w:rPr>
        <w:t xml:space="preserve"> includes corporate pages and assets. Run </w:t>
      </w:r>
      <w:r>
        <w:rPr>
          <w:rFonts w:ascii="Consolas" w:hAnsi="Consolas"/>
          <w:color w:val="173F35"/>
          <w:sz w:val="20"/>
          <w:shd w:fill="EDF5F1"/>
        </w:rPr>
        <w:t>tools/build_knowledge_site.py</w:t>
      </w:r>
      <w:r>
        <w:rPr>
          <w:rFonts w:ascii="Segoe UI" w:hAnsi="Segoe UI"/>
          <w:color w:val="19322B"/>
          <w:sz w:val="22"/>
        </w:rPr>
        <w:t xml:space="preserve">, then </w:t>
      </w:r>
      <w:r>
        <w:rPr>
          <w:rFonts w:ascii="Consolas" w:hAnsi="Consolas"/>
          <w:color w:val="173F35"/>
          <w:sz w:val="20"/>
          <w:shd w:fill="EDF5F1"/>
        </w:rPr>
        <w:t>--check</w:t>
      </w:r>
      <w:r>
        <w:rPr>
          <w:rFonts w:ascii="Segoe UI" w:hAnsi="Segoe UI"/>
          <w:color w:val="19322B"/>
          <w:sz w:val="22"/>
        </w:rPr>
        <w:t>, palette and syntax checks, and the static build. Never deploy just to review these pages.</w:t>
      </w:r>
    </w:p>
    <w:p>
      <w:r>
        <w:rPr>
          <w:rFonts w:ascii="Segoe UI" w:hAnsi="Segoe UI"/>
          <w:color w:val="19322B"/>
          <w:sz w:val="22"/>
        </w:rPr>
        <w:t xml:space="preserve">For local review, run </w:t>
      </w:r>
      <w:r>
        <w:rPr>
          <w:rFonts w:ascii="Consolas" w:hAnsi="Consolas"/>
          <w:color w:val="173F35"/>
          <w:sz w:val="20"/>
          <w:shd w:fill="EDF5F1"/>
        </w:rPr>
        <w:t>tools/serve-public-local.py</w:t>
      </w:r>
      <w:r>
        <w:rPr>
          <w:rFonts w:ascii="Segoe UI" w:hAnsi="Segoe UI"/>
          <w:color w:val="19322B"/>
          <w:sz w:val="22"/>
        </w:rPr>
        <w:t xml:space="preserve"> with the bundled Python runtime at </w:t>
      </w:r>
      <w:r>
        <w:rPr>
          <w:rFonts w:ascii="Consolas" w:hAnsi="Consolas"/>
          <w:color w:val="173F35"/>
          <w:sz w:val="20"/>
          <w:shd w:fill="EDF5F1"/>
        </w:rPr>
        <w:t>http://127.0.0.1:4186</w:t>
      </w:r>
      <w:r>
        <w:rPr>
          <w:rFonts w:ascii="Segoe UI" w:hAnsi="Segoe UI"/>
          <w:color w:val="19322B"/>
          <w:sz w:val="22"/>
        </w:rPr>
        <w:t xml:space="preserve">. This loopback-only server serves allowlisted public files and proxies read-only public destination GET requests without credentials. </w:t>
      </w:r>
      <w:r>
        <w:rPr>
          <w:rFonts w:ascii="Consolas" w:hAnsi="Consolas"/>
          <w:color w:val="173F35"/>
          <w:sz w:val="20"/>
          <w:shd w:fill="EDF5F1"/>
        </w:rPr>
        <w:t>LOCAL_DESTINATION_OVERRIDES</w:t>
      </w:r>
      <w:r>
        <w:rPr>
          <w:rFonts w:ascii="Segoe UI" w:hAnsi="Segoe UI"/>
          <w:color w:val="19322B"/>
          <w:sz w:val="22"/>
        </w:rPr>
        <w:t xml:space="preserve"> replaces England's image URL, alt text, and credit in list/detail responses with the reviewed Beacon Hill photo. It never writes live records. Private paths and form submissions remain unavailable. The static build does not contain this override; an authorized release must separately apply </w:t>
      </w:r>
      <w:r>
        <w:rPr>
          <w:rFonts w:ascii="Consolas" w:hAnsi="Consolas"/>
          <w:color w:val="173F35"/>
          <w:sz w:val="20"/>
          <w:shd w:fill="EDF5F1"/>
        </w:rPr>
        <w:t>docs/content/destination-releases/england-2026-10-26.json</w:t>
      </w:r>
      <w:r>
        <w:rPr>
          <w:rFonts w:ascii="Segoe UI" w:hAnsi="Segoe UI"/>
          <w:color w:val="19322B"/>
          <w:sz w:val="22"/>
        </w:rPr>
        <w:t xml:space="preserve"> to each environment's destination record after its asset is available. MMT steps, permissions, schema, and business data are unchanged.</w:t>
      </w:r>
    </w:p>
    <w:p>
      <w:pPr>
        <w:pStyle w:val="Heading1"/>
      </w:pPr>
      <w:r>
        <w:rPr>
          <w:rFonts w:ascii="Georgia" w:hAnsi="Georgia"/>
          <w:b/>
          <w:color w:val="173F35"/>
          <w:sz w:val="32"/>
        </w:rPr>
        <w:t>Traveler vetting and optional applications</w:t>
      </w:r>
    </w:p>
    <w:p>
      <w:r>
        <w:rPr>
          <w:rFonts w:ascii="Segoe UI" w:hAnsi="Segoe UI"/>
          <w:color w:val="19322B"/>
          <w:sz w:val="22"/>
        </w:rPr>
        <w:t>Destination interest intake saves optional ageRange, occupation and church in traveler_profiles.details_json through src/interest-profile.ts. Accepted new contacts get the supplied values; matching contacts require explicit approval for each key. Profile merges preserve other keys and enforce the reviewed profile revision. Age values are 5-15, 16-17, 18-25, 26-40 and 41+. These fields do not record guardian consent or approve travel.</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Contact group email</w:t>
      </w:r>
    </w:p>
    <w:p>
      <w:r>
        <w:rPr>
          <w:rFonts w:ascii="Segoe UI" w:hAnsi="Segoe UI"/>
          <w:color w:val="19322B"/>
          <w:sz w:val="22"/>
        </w:rPr>
        <w:t>People and Contact spreadsheet offer selection checkboxes, Email selected contacts, Clear selection, and Email history. admin/contact-email.js opens an accessible composer with editable To addresses, Subject, Message, and the fixed signed footer preview. admin/admin.js maintains the shared selection across filters and pages; the server resolves current active contact addresses before composing. Missing or invalid addresses are listed rather than silently included. Duplicate addresses are combined without regard to case. The editable To list supports additional addresses and a maximum of 50 unique recipients, all visible to each other. Contacts edit access is required to compose, send, or retry; Contacts read access can view the 30 most recent saved emails.</w:t>
      </w:r>
    </w:p>
    <w:p>
      <w:r>
        <w:rPr>
          <w:rFonts w:ascii="Segoe UI" w:hAnsi="Segoe UI"/>
          <w:color w:val="19322B"/>
          <w:sz w:val="22"/>
        </w:rPr>
        <w:t>src/contact-email.ts handles /admin/contacts/emails, /preview, and /:id/retry. index.ts dispatches these routes before the ledger routes. Migration 0061_contact_emails.sql creates contact_emails and contact_email_people. The immutable saved payload contains the subject, plain text, escaped HTML, all To recipients, the standard footer, and embedded signature. The sender and reply address are fixed to admin@hopesojourns.com. Reuse givingEmailFooter and the environment's private branding/brent-kern-signature.png object; a missing signature blocks preparation. Never accept sender, footer HTML, or signature bytes from the browser.</w:t>
      </w:r>
    </w:p>
    <w:p>
      <w:r>
        <w:rPr>
          <w:rFonts w:ascii="Segoe UI" w:hAnsi="Segoe UI"/>
          <w:color w:val="19322B"/>
          <w:sz w:val="22"/>
        </w:rPr>
        <w:t>Authentication, Contacts permissions, CSRF, and the shared origin check protect these routes. Resend delivery uses the existing server-side secret and live settings. Test environments capture the complete message without calling the provider. The client-generated send ID and request hash reject changed-payload reuse. Atomic claims prevent overlapping sends; unresolved equal-content requests cannot create replacement messages. Saved retries reuse the exact payload and provider key after uncertain delivery, with a 23-hour limit inside Resend's 24-hour deduplication window. Confirmed rejections may use a fresh attempt key. Sent or captured messages return their existing status without resending. Accepted for delivery does not confirm receipt. Contact emails do not automatically change Last Contacted.</w:t>
      </w:r>
    </w:p>
    <w:p>
      <w:r>
        <w:rPr>
          <w:rFonts w:ascii="Segoe UI" w:hAnsi="Segoe UI"/>
          <w:color w:val="19322B"/>
          <w:sz w:val="22"/>
        </w:rPr>
        <w:t>Validate with the contact-email, inquiries, gift-thanks, contact-card-disclosure, and admin-ui-contract tests. Use Vitest --pool=threads --maxWorkers=2 on Windows when fork workers hang. Test selected recipients, manual additions, deduplication, invalid input, permissions, concurrency, uncertain retries, signature changes, footer escaping, and test capture using mocked delivery. Do not send real messages as a validation step. Apply migration 0061 separately to each isolated environment only after release approval; upload the updated private guides at that release. This change remains local and uncommitted pending approval.</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4.87. Documented the contact group composer, signed standard footer, Resend delivery, permissions, immutable email history, guarded retries, and migration 0061. Local implementation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4.86. Scoped card initialization to independent sections, documented keyboard checks, and added the six-panel collage. The labeled revision removes image AI-content text at the user's request and replaces the waterfront with a verified Halifax, England source. No portal or database changes. Local review only.</w:t>
      </w:r>
    </w:p>
    <w:p>
      <w:pPr>
        <w:keepLines/>
        <w:numPr>
          <w:ilvl w:val="0"/>
          <w:numId w:val="10"/>
        </w:numPr>
        <w:spacing w:before="0" w:after="80" w:line="300" w:lineRule="auto"/>
        <w:ind w:left="540" w:hanging="271"/>
      </w:pPr>
      <w:r>
        <w:rPr>
          <w:rFonts w:ascii="Segoe UI" w:hAnsi="Segoe UI"/>
          <w:color w:val="19322B"/>
          <w:sz w:val="22"/>
        </w:rPr>
        <w:t>October 26, 2026 — Version 4.85. Documented the corporate routes, Leadership Transformation curriculum, shared navigation, explicit public build inclusion, regenerated knowledge catalog, and localhost review procedure. No database or portal workflow changes. No release authorized.</w:t>
      </w:r>
    </w:p>
    <w:p>
      <w:pPr>
        <w:keepLines/>
        <w:numPr>
          <w:ilvl w:val="0"/>
          <w:numId w:val="10"/>
        </w:numPr>
        <w:spacing w:before="0" w:after="80" w:line="300" w:lineRule="auto"/>
        <w:ind w:left="540" w:hanging="271"/>
      </w:pPr>
      <w:r>
        <w:rPr>
          <w:rFonts w:ascii="Segoe UI" w:hAnsi="Segoe UI"/>
          <w:color w:val="19322B"/>
          <w:sz w:val="22"/>
        </w:rPr>
        <w:t>October 26, 2026 — Version 4.84. Added trips/mexico-city/overview.js and overview.css, loaded only for Mexico by destinations-public.js. The renderer adds proposed service, itinerary, preparation, estimate/inclusions/exclusions and transparency sections plus a sidebar estimate. assets/mexico-city-outreach-brochure.png is extracted unchanged from the existing Mexico brochure; no crop. docs/content/destination-releases/mexico-city-2026-10-26.json holds reviewed portal summary/introduction/service/notes updates. Apply these fields through the authenticated destination editor or a revision-guarded maintenance update independently in each environment only when release is authorized; preserve dates, availability and all other fields. The introduction removes an obsolete date; current dates continue to come from MMT. Public HTML metadata, script cache versions and the catalog are refreshed. No schema migration is required.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4.83. Interest payload validation and fingerprinting include optional ageRange, occupation and church. src/interest-profile.ts defines the five age values and atomic JSON profile merges. New contacts receive supplied fields; matched contacts remain unchanged until selected fields are approved. Review responses include profileRevision; the revision is checked before and inside the atomic profile write so stale reviews roll back. Unchecked profile keys, proof metadata and other contact history survive. Additional data and reusable application prefills recognize ageRange/occupation and preserve them when reviewing older applications. No migration is needed. Static cache versions and the public catalog were refreshed.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