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4.81</w:t>
      </w:r>
      <w:r>
        <w:rPr>
          <w:rFonts w:ascii="Segoe UI" w:hAnsi="Segoe UI"/>
          <w:color w:val="D99B42"/>
          <w:sz w:val="20"/>
        </w:rPr>
        <w:t xml:space="preserve">  •  </w:t>
      </w:r>
      <w:r>
        <w:rPr>
          <w:rFonts w:ascii="Segoe UI" w:hAnsi="Segoe UI"/>
          <w:color w:val="60726B"/>
          <w:sz w:val="20"/>
        </w:rPr>
        <w:t>Last reviewed October 26,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Three public service offerings and corporate leadership</w:t>
            </w:r>
          </w:p>
          <w:p>
            <w:pPr>
              <w:numPr>
                <w:ilvl w:val="0"/>
                <w:numId w:val="13"/>
              </w:numPr>
              <w:spacing w:before="0" w:after="0" w:line="240" w:lineRule="auto"/>
              <w:ind w:left="540" w:hanging="271"/>
            </w:pPr>
            <w:r>
              <w:rPr>
                <w:rFonts w:ascii="Segoe UI" w:hAnsi="Segoe UI"/>
                <w:color w:val="19322B"/>
                <w:sz w:val="20"/>
              </w:rPr>
              <w:t>Traveler workflow and private application screens</w:t>
            </w:r>
          </w:p>
          <w:p>
            <w:pPr>
              <w:numPr>
                <w:ilvl w:val="0"/>
                <w:numId w:val="13"/>
              </w:numPr>
              <w:spacing w:before="0" w:after="0" w:line="240" w:lineRule="auto"/>
              <w:ind w:left="540" w:hanging="271"/>
            </w:pPr>
            <w:r>
              <w:rPr>
                <w:rFonts w:ascii="Segoe UI" w:hAnsi="Segoe UI"/>
                <w:color w:val="19322B"/>
                <w:sz w:val="20"/>
              </w:rPr>
              <w:t>Potential travelers and contact journey history</w:t>
            </w:r>
          </w:p>
          <w:p>
            <w:pPr>
              <w:numPr>
                <w:ilvl w:val="0"/>
                <w:numId w:val="13"/>
              </w:numPr>
              <w:spacing w:before="0" w:after="0" w:line="240" w:lineRule="auto"/>
              <w:ind w:left="540" w:hanging="271"/>
            </w:pPr>
            <w:r>
              <w:rPr>
                <w:rFonts w:ascii="Segoe UI" w:hAnsi="Segoe UI"/>
                <w:color w:val="19322B"/>
                <w:sz w:val="20"/>
              </w:rPr>
              <w:t>Past trip story selection controls</w:t>
            </w:r>
          </w:p>
          <w:p>
            <w:pPr>
              <w:numPr>
                <w:ilvl w:val="0"/>
                <w:numId w:val="13"/>
              </w:numPr>
              <w:spacing w:before="0" w:after="0" w:line="240" w:lineRule="auto"/>
              <w:ind w:left="540" w:hanging="271"/>
            </w:pPr>
            <w:r>
              <w:rPr>
                <w:rFonts w:ascii="Segoe UI" w:hAnsi="Segoe UI"/>
                <w:color w:val="19322B"/>
                <w:sz w:val="20"/>
              </w:rPr>
              <w:t>Verified account email changes</w:t>
            </w:r>
          </w:p>
          <w:p>
            <w:pPr>
              <w:numPr>
                <w:ilvl w:val="0"/>
                <w:numId w:val="13"/>
              </w:numPr>
              <w:spacing w:before="0" w:after="0" w:line="240" w:lineRule="auto"/>
              <w:ind w:left="540" w:hanging="271"/>
            </w:pPr>
            <w:r>
              <w:rPr>
                <w:rFonts w:ascii="Segoe UI" w:hAnsi="Segoe UI"/>
                <w:color w:val="19322B"/>
                <w:sz w:val="20"/>
              </w:rPr>
              <w:t>Volunteer Time workspace and service reports</w:t>
            </w:r>
          </w:p>
          <w:p>
            <w:pPr>
              <w:numPr>
                <w:ilvl w:val="0"/>
                <w:numId w:val="13"/>
              </w:numPr>
              <w:spacing w:before="0" w:after="0" w:line="240" w:lineRule="auto"/>
              <w:ind w:left="540" w:hanging="271"/>
            </w:pPr>
            <w:r>
              <w:rPr>
                <w:rFonts w:ascii="Segoe UI" w:hAnsi="Segoe UI"/>
                <w:color w:val="19322B"/>
                <w:sz w:val="20"/>
              </w:rPr>
              <w:t>Portal guide navigation</w:t>
            </w:r>
          </w:p>
          <w:p>
            <w:pPr>
              <w:numPr>
                <w:ilvl w:val="0"/>
                <w:numId w:val="13"/>
              </w:numPr>
              <w:spacing w:before="0" w:after="0" w:line="240" w:lineRule="auto"/>
              <w:ind w:left="540" w:hanging="271"/>
            </w:pPr>
            <w:r>
              <w:rPr>
                <w:rFonts w:ascii="Segoe UI" w:hAnsi="Segoe UI"/>
                <w:color w:val="19322B"/>
                <w:sz w:val="20"/>
              </w:rPr>
              <w:t>Live public questions and portal knowledge tools</w:t>
            </w:r>
          </w:p>
          <w:p>
            <w:pPr>
              <w:numPr>
                <w:ilvl w:val="0"/>
                <w:numId w:val="13"/>
              </w:numPr>
              <w:spacing w:before="0" w:after="0" w:line="240" w:lineRule="auto"/>
              <w:ind w:left="540" w:hanging="271"/>
            </w:pPr>
            <w:r>
              <w:rPr>
                <w:rFonts w:ascii="Segoe UI" w:hAnsi="Segoe UI"/>
                <w:color w:val="19322B"/>
                <w:sz w:val="20"/>
              </w:rPr>
              <w:t>Internship questions and knowledge preview</w:t>
            </w:r>
          </w:p>
          <w:p>
            <w:pPr>
              <w:numPr>
                <w:ilvl w:val="0"/>
                <w:numId w:val="13"/>
              </w:numPr>
              <w:spacing w:before="0" w:after="0" w:line="240" w:lineRule="auto"/>
              <w:ind w:left="540" w:hanging="271"/>
            </w:pPr>
            <w:r>
              <w:rPr>
                <w:rFonts w:ascii="Segoe UI" w:hAnsi="Segoe UI"/>
                <w:color w:val="19322B"/>
                <w:sz w:val="20"/>
              </w:rPr>
              <w:t>Mexico ministry partner recognition</w:t>
            </w:r>
          </w:p>
          <w:p>
            <w:pPr>
              <w:numPr>
                <w:ilvl w:val="0"/>
                <w:numId w:val="13"/>
              </w:numPr>
              <w:spacing w:before="0" w:after="0" w:line="240" w:lineRule="auto"/>
              <w:ind w:left="540" w:hanging="271"/>
            </w:pPr>
            <w:r>
              <w:rPr>
                <w:rFonts w:ascii="Segoe UI" w:hAnsi="Segoe UI"/>
                <w:color w:val="19322B"/>
                <w:sz w:val="20"/>
              </w:rPr>
              <w:t>Ministry home layout</w:t>
            </w:r>
          </w:p>
          <w:p>
            <w:pPr>
              <w:numPr>
                <w:ilvl w:val="0"/>
                <w:numId w:val="13"/>
              </w:numPr>
              <w:spacing w:before="0" w:after="0" w:line="240" w:lineRule="auto"/>
              <w:ind w:left="540" w:hanging="271"/>
            </w:pPr>
            <w:r>
              <w:rPr>
                <w:rFonts w:ascii="Segoe UI" w:hAnsi="Segoe UI"/>
                <w:color w:val="19322B"/>
                <w:sz w:val="20"/>
              </w:rPr>
              <w:t>Payment inbox contact association</w:t>
            </w:r>
          </w:p>
          <w:p>
            <w:pPr>
              <w:numPr>
                <w:ilvl w:val="0"/>
                <w:numId w:val="13"/>
              </w:numPr>
              <w:spacing w:before="0" w:after="0" w:line="240" w:lineRule="auto"/>
              <w:ind w:left="540" w:hanging="271"/>
            </w:pPr>
            <w:r>
              <w:rPr>
                <w:rFonts w:ascii="Segoe UI" w:hAnsi="Segoe UI"/>
                <w:color w:val="19322B"/>
                <w:sz w:val="20"/>
              </w:rPr>
              <w:t>Inquiry follow-up controls</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Contact column filters</w:t>
            </w:r>
          </w:p>
          <w:p>
            <w:pPr>
              <w:numPr>
                <w:ilvl w:val="0"/>
                <w:numId w:val="13"/>
              </w:numPr>
              <w:spacing w:before="0" w:after="0" w:line="240" w:lineRule="auto"/>
              <w:ind w:left="540" w:hanging="271"/>
            </w:pPr>
            <w:r>
              <w:rPr>
                <w:rFonts w:ascii="Segoe UI" w:hAnsi="Segoe UI"/>
                <w:color w:val="19322B"/>
                <w:sz w:val="20"/>
              </w:rPr>
              <w:t>Itinerary categories and traveler views</w:t>
            </w:r>
          </w:p>
          <w:p>
            <w:pPr>
              <w:numPr>
                <w:ilvl w:val="0"/>
                <w:numId w:val="13"/>
              </w:numPr>
              <w:spacing w:before="0" w:after="0" w:line="240" w:lineRule="auto"/>
              <w:ind w:left="540" w:hanging="271"/>
            </w:pPr>
            <w:r>
              <w:rPr>
                <w:rFonts w:ascii="Segoe UI" w:hAnsi="Segoe UI"/>
                <w:color w:val="19322B"/>
                <w:sz w:val="20"/>
              </w:rPr>
              <w:t>Scripture reference links and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Finance labels and expense review</w:t>
            </w:r>
          </w:p>
          <w:p>
            <w:pPr>
              <w:numPr>
                <w:ilvl w:val="0"/>
                <w:numId w:val="13"/>
              </w:numPr>
              <w:spacing w:before="0" w:after="0" w:line="240" w:lineRule="auto"/>
              <w:ind w:left="540" w:hanging="271"/>
            </w:pPr>
            <w:r>
              <w:rPr>
                <w:rFonts w:ascii="Segoe UI" w:hAnsi="Segoe UI"/>
                <w:color w:val="19322B"/>
                <w:sz w:val="20"/>
              </w:rPr>
              <w:t>Private user guide and portal footer</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Planning workspace and interested submission review</w:t>
            </w:r>
          </w:p>
          <w:p>
            <w:pPr>
              <w:numPr>
                <w:ilvl w:val="0"/>
                <w:numId w:val="13"/>
              </w:numPr>
              <w:spacing w:before="0" w:after="0" w:line="240" w:lineRule="auto"/>
              <w:ind w:left="540" w:hanging="271"/>
            </w:pPr>
            <w:r>
              <w:rPr>
                <w:rFonts w:ascii="Segoe UI" w:hAnsi="Segoe UI"/>
                <w:color w:val="19322B"/>
                <w:sz w:val="20"/>
              </w:rPr>
              <w:t>Trip photos and past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Collapsible devotional days</w:t>
            </w:r>
          </w:p>
          <w:p>
            <w:pPr>
              <w:numPr>
                <w:ilvl w:val="0"/>
                <w:numId w:val="13"/>
              </w:numPr>
              <w:spacing w:before="0" w:after="0" w:line="240" w:lineRule="auto"/>
              <w:ind w:left="540" w:hanging="271"/>
            </w:pPr>
            <w:r>
              <w:rPr>
                <w:rFonts w:ascii="Segoe UI" w:hAnsi="Segoe UI"/>
                <w:color w:val="19322B"/>
                <w:sz w:val="20"/>
              </w:rPr>
              <w:t>Traveler study typography</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Current shared trip password</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comparison and bulk editing</w:t>
            </w:r>
          </w:p>
          <w:p>
            <w:pPr>
              <w:numPr>
                <w:ilvl w:val="0"/>
                <w:numId w:val="13"/>
              </w:numPr>
              <w:spacing w:before="0" w:after="0" w:line="240" w:lineRule="auto"/>
              <w:ind w:left="540" w:hanging="271"/>
            </w:pPr>
            <w:r>
              <w:rPr>
                <w:rFonts w:ascii="Segoe UI" w:hAnsi="Segoe UI"/>
                <w:color w:val="19322B"/>
                <w:sz w:val="20"/>
              </w:rPr>
              <w:t>Shared portal account management</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Donation split editor</w:t>
            </w:r>
          </w:p>
          <w:p>
            <w:pPr>
              <w:numPr>
                <w:ilvl w:val="0"/>
                <w:numId w:val="13"/>
              </w:numPr>
              <w:spacing w:before="0" w:after="0" w:line="240" w:lineRule="auto"/>
              <w:ind w:left="540" w:hanging="271"/>
            </w:pPr>
            <w:r>
              <w:rPr>
                <w:rFonts w:ascii="Segoe UI" w:hAnsi="Segoe UI"/>
                <w:color w:val="19322B"/>
                <w:sz w:val="20"/>
              </w:rPr>
              <w:t>MMT account and access screens</w:t>
            </w:r>
          </w:p>
          <w:p>
            <w:pPr>
              <w:numPr>
                <w:ilvl w:val="0"/>
                <w:numId w:val="13"/>
              </w:numPr>
              <w:spacing w:before="0" w:after="0" w:line="240" w:lineRule="auto"/>
              <w:ind w:left="540" w:hanging="271"/>
            </w:pPr>
            <w:r>
              <w:rPr>
                <w:rFonts w:ascii="Segoe UI" w:hAnsi="Segoe UI"/>
                <w:color w:val="19322B"/>
                <w:sz w:val="20"/>
              </w:rPr>
              <w:t>Destination management patterns</w:t>
            </w:r>
          </w:p>
          <w:p>
            <w:pPr>
              <w:numPr>
                <w:ilvl w:val="0"/>
                <w:numId w:val="13"/>
              </w:numPr>
              <w:spacing w:before="0" w:after="0" w:line="240" w:lineRule="auto"/>
              <w:ind w:left="540" w:hanging="271"/>
            </w:pPr>
            <w:r>
              <w:rPr>
                <w:rFonts w:ascii="Segoe UI" w:hAnsi="Segoe UI"/>
                <w:color w:val="19322B"/>
                <w:sz w:val="20"/>
              </w:rPr>
              <w:t>Purpose</w:t>
            </w:r>
          </w:p>
          <w:p>
            <w:pPr>
              <w:numPr>
                <w:ilvl w:val="0"/>
                <w:numId w:val="13"/>
              </w:numPr>
              <w:spacing w:before="0" w:after="0" w:line="240" w:lineRule="auto"/>
              <w:ind w:left="540" w:hanging="271"/>
            </w:pPr>
            <w:r>
              <w:rPr>
                <w:rFonts w:ascii="Segoe UI" w:hAnsi="Segoe UI"/>
                <w:color w:val="19322B"/>
                <w:sz w:val="20"/>
              </w:rPr>
              <w:t>Canonical design sources</w:t>
            </w:r>
          </w:p>
          <w:p>
            <w:pPr>
              <w:numPr>
                <w:ilvl w:val="0"/>
                <w:numId w:val="13"/>
              </w:numPr>
              <w:spacing w:before="0" w:after="0" w:line="240" w:lineRule="auto"/>
              <w:ind w:left="540" w:hanging="271"/>
            </w:pPr>
            <w:r>
              <w:rPr>
                <w:rFonts w:ascii="Segoe UI" w:hAnsi="Segoe UI"/>
                <w:color w:val="19322B"/>
                <w:sz w:val="20"/>
              </w:rPr>
              <w:t>Brand foundation</w:t>
            </w:r>
          </w:p>
          <w:p>
            <w:pPr>
              <w:numPr>
                <w:ilvl w:val="0"/>
                <w:numId w:val="13"/>
              </w:numPr>
              <w:spacing w:before="0" w:after="0" w:line="240" w:lineRule="auto"/>
              <w:ind w:left="540" w:hanging="271"/>
            </w:pPr>
            <w:r>
              <w:rPr>
                <w:rFonts w:ascii="Segoe UI" w:hAnsi="Segoe UI"/>
                <w:color w:val="19322B"/>
                <w:sz w:val="20"/>
              </w:rPr>
              <w:t>Logo system</w:t>
            </w:r>
          </w:p>
          <w:p>
            <w:pPr>
              <w:numPr>
                <w:ilvl w:val="0"/>
                <w:numId w:val="13"/>
              </w:numPr>
              <w:spacing w:before="0" w:after="0" w:line="240" w:lineRule="auto"/>
              <w:ind w:left="540" w:hanging="271"/>
            </w:pPr>
            <w:r>
              <w:rPr>
                <w:rFonts w:ascii="Segoe UI" w:hAnsi="Segoe UI"/>
                <w:color w:val="19322B"/>
                <w:sz w:val="20"/>
              </w:rPr>
              <w:t>Color system</w:t>
            </w:r>
          </w:p>
          <w:p>
            <w:pPr>
              <w:numPr>
                <w:ilvl w:val="0"/>
                <w:numId w:val="13"/>
              </w:numPr>
              <w:spacing w:before="0" w:after="0" w:line="240" w:lineRule="auto"/>
              <w:ind w:left="540" w:hanging="271"/>
            </w:pPr>
            <w:r>
              <w:rPr>
                <w:rFonts w:ascii="Segoe UI" w:hAnsi="Segoe UI"/>
                <w:color w:val="19322B"/>
                <w:sz w:val="20"/>
              </w:rPr>
              <w:t>Typography</w:t>
            </w:r>
          </w:p>
          <w:p>
            <w:pPr>
              <w:numPr>
                <w:ilvl w:val="0"/>
                <w:numId w:val="13"/>
              </w:numPr>
              <w:spacing w:before="0" w:after="0" w:line="240" w:lineRule="auto"/>
              <w:ind w:left="540" w:hanging="271"/>
            </w:pPr>
            <w:r>
              <w:rPr>
                <w:rFonts w:ascii="Segoe UI" w:hAnsi="Segoe UI"/>
                <w:color w:val="19322B"/>
                <w:sz w:val="20"/>
              </w:rPr>
              <w:t>Layout and spacing</w:t>
            </w:r>
          </w:p>
          <w:p>
            <w:pPr>
              <w:numPr>
                <w:ilvl w:val="0"/>
                <w:numId w:val="13"/>
              </w:numPr>
              <w:spacing w:before="0" w:after="0" w:line="240" w:lineRule="auto"/>
              <w:ind w:left="540" w:hanging="271"/>
            </w:pPr>
            <w:r>
              <w:rPr>
                <w:rFonts w:ascii="Segoe UI" w:hAnsi="Segoe UI"/>
                <w:color w:val="19322B"/>
                <w:sz w:val="20"/>
              </w:rPr>
              <w:t>Core components</w:t>
            </w:r>
          </w:p>
          <w:p>
            <w:pPr>
              <w:numPr>
                <w:ilvl w:val="0"/>
                <w:numId w:val="13"/>
              </w:numPr>
              <w:spacing w:before="0" w:after="0" w:line="240" w:lineRule="auto"/>
              <w:ind w:left="540" w:hanging="271"/>
            </w:pPr>
            <w:r>
              <w:rPr>
                <w:rFonts w:ascii="Segoe UI" w:hAnsi="Segoe UI"/>
                <w:color w:val="19322B"/>
                <w:sz w:val="20"/>
              </w:rPr>
              <w:t>Photography and media</w:t>
            </w:r>
          </w:p>
          <w:p>
            <w:pPr>
              <w:numPr>
                <w:ilvl w:val="0"/>
                <w:numId w:val="13"/>
              </w:numPr>
              <w:spacing w:before="0" w:after="0" w:line="240" w:lineRule="auto"/>
              <w:ind w:left="540" w:hanging="271"/>
            </w:pPr>
            <w:r>
              <w:rPr>
                <w:rFonts w:ascii="Segoe UI" w:hAnsi="Segoe UI"/>
                <w:color w:val="19322B"/>
                <w:sz w:val="20"/>
              </w:rPr>
              <w:t>Voice and content standards</w:t>
            </w:r>
          </w:p>
          <w:p>
            <w:pPr>
              <w:numPr>
                <w:ilvl w:val="0"/>
                <w:numId w:val="13"/>
              </w:numPr>
              <w:spacing w:before="0" w:after="0" w:line="240" w:lineRule="auto"/>
              <w:ind w:left="540" w:hanging="271"/>
            </w:pPr>
            <w:r>
              <w:rPr>
                <w:rFonts w:ascii="Segoe UI" w:hAnsi="Segoe UI"/>
                <w:color w:val="19322B"/>
                <w:sz w:val="20"/>
              </w:rPr>
              <w:t>Accessibility standards</w:t>
            </w:r>
          </w:p>
          <w:p>
            <w:pPr>
              <w:numPr>
                <w:ilvl w:val="0"/>
                <w:numId w:val="13"/>
              </w:numPr>
              <w:spacing w:before="0" w:after="0" w:line="240" w:lineRule="auto"/>
              <w:ind w:left="540" w:hanging="271"/>
            </w:pPr>
            <w:r>
              <w:rPr>
                <w:rFonts w:ascii="Segoe UI" w:hAnsi="Segoe UI"/>
                <w:color w:val="19322B"/>
                <w:sz w:val="20"/>
              </w:rPr>
              <w:t>Motion standards</w:t>
            </w:r>
          </w:p>
          <w:p>
            <w:pPr>
              <w:numPr>
                <w:ilvl w:val="0"/>
                <w:numId w:val="13"/>
              </w:numPr>
              <w:spacing w:before="0" w:after="0" w:line="240" w:lineRule="auto"/>
              <w:ind w:left="540" w:hanging="271"/>
            </w:pPr>
            <w:r>
              <w:rPr>
                <w:rFonts w:ascii="Segoe UI" w:hAnsi="Segoe UI"/>
                <w:color w:val="19322B"/>
                <w:sz w:val="20"/>
              </w:rPr>
              <w:t>New page checklist</w:t>
            </w:r>
          </w:p>
          <w:p>
            <w:pPr>
              <w:numPr>
                <w:ilvl w:val="0"/>
                <w:numId w:val="13"/>
              </w:numPr>
              <w:spacing w:before="0" w:after="0" w:line="240" w:lineRule="auto"/>
              <w:ind w:left="540" w:hanging="271"/>
            </w:pPr>
            <w:r>
              <w:rPr>
                <w:rFonts w:ascii="Segoe UI" w:hAnsi="Segoe UI"/>
                <w:color w:val="19322B"/>
                <w:sz w:val="20"/>
              </w:rPr>
              <w:t>Governance</w:t>
            </w:r>
          </w:p>
          <w:p>
            <w:pPr>
              <w:numPr>
                <w:ilvl w:val="0"/>
                <w:numId w:val="13"/>
              </w:numPr>
              <w:spacing w:before="0" w:after="0" w:line="240" w:lineRule="auto"/>
              <w:ind w:left="540" w:hanging="271"/>
            </w:pPr>
            <w:r>
              <w:rPr>
                <w:rFonts w:ascii="Segoe UI" w:hAnsi="Segoe UI"/>
                <w:color w:val="19322B"/>
                <w:sz w:val="20"/>
              </w:rPr>
              <w:t>Ministry Management interface</w:t>
            </w:r>
          </w:p>
          <w:p>
            <w:pPr>
              <w:numPr>
                <w:ilvl w:val="0"/>
                <w:numId w:val="13"/>
              </w:numPr>
              <w:spacing w:before="0" w:after="0" w:line="240" w:lineRule="auto"/>
              <w:ind w:left="540" w:hanging="271"/>
            </w:pPr>
            <w:r>
              <w:rPr>
                <w:rFonts w:ascii="Segoe UI" w:hAnsi="Segoe UI"/>
                <w:color w:val="19322B"/>
                <w:sz w:val="20"/>
              </w:rPr>
              <w:t>Expanded bookkeeping screens</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gift presentation</w:t>
            </w:r>
          </w:p>
          <w:p>
            <w:pPr>
              <w:numPr>
                <w:ilvl w:val="0"/>
                <w:numId w:val="13"/>
              </w:numPr>
              <w:spacing w:before="0" w:after="0" w:line="240" w:lineRule="auto"/>
              <w:ind w:left="540" w:hanging="271"/>
            </w:pPr>
            <w:r>
              <w:rPr>
                <w:rFonts w:ascii="Segoe UI" w:hAnsi="Segoe UI"/>
                <w:color w:val="19322B"/>
                <w:sz w:val="20"/>
              </w:rPr>
              <w:t>Traveling trips and public follow-along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Story preview presentation</w:t>
            </w:r>
          </w:p>
          <w:p>
            <w:pPr>
              <w:numPr>
                <w:ilvl w:val="0"/>
                <w:numId w:val="13"/>
              </w:numPr>
              <w:spacing w:before="0" w:after="0" w:line="240" w:lineRule="auto"/>
              <w:ind w:left="540" w:hanging="271"/>
            </w:pPr>
            <w:r>
              <w:rPr>
                <w:rFonts w:ascii="Segoe UI" w:hAnsi="Segoe UI"/>
                <w:color w:val="19322B"/>
                <w:sz w:val="20"/>
              </w:rPr>
              <w:t>Related contact card</w:t>
            </w:r>
          </w:p>
          <w:p>
            <w:pPr>
              <w:numPr>
                <w:ilvl w:val="0"/>
                <w:numId w:val="13"/>
              </w:numPr>
              <w:spacing w:before="0" w:after="0" w:line="240" w:lineRule="auto"/>
              <w:ind w:left="540" w:hanging="271"/>
            </w:pPr>
            <w:r>
              <w:rPr>
                <w:rFonts w:ascii="Segoe UI" w:hAnsi="Segoe UI"/>
                <w:color w:val="19322B"/>
                <w:sz w:val="20"/>
              </w:rPr>
              <w:t>Book reading pages</w:t>
            </w:r>
          </w:p>
          <w:p>
            <w:pPr>
              <w:numPr>
                <w:ilvl w:val="0"/>
                <w:numId w:val="13"/>
              </w:numPr>
              <w:spacing w:before="0" w:after="0" w:line="240" w:lineRule="auto"/>
              <w:ind w:left="540" w:hanging="271"/>
            </w:pPr>
            <w:r>
              <w:rPr>
                <w:rFonts w:ascii="Segoe UI" w:hAnsi="Segoe UI"/>
                <w:color w:val="19322B"/>
                <w:sz w:val="20"/>
              </w:rPr>
              <w:t>Managed contact access categories</w:t>
            </w:r>
          </w:p>
          <w:p>
            <w:pPr>
              <w:numPr>
                <w:ilvl w:val="0"/>
                <w:numId w:val="13"/>
              </w:numPr>
              <w:spacing w:before="0" w:after="0" w:line="240" w:lineRule="auto"/>
              <w:ind w:left="540" w:hanging="271"/>
            </w:pPr>
            <w:r>
              <w:rPr>
                <w:rFonts w:ascii="Segoe UI" w:hAnsi="Segoe UI"/>
                <w:color w:val="19322B"/>
                <w:sz w:val="20"/>
              </w:rPr>
              <w:t>Three ways to serve in the local preview</w:t>
            </w:r>
          </w:p>
          <w:p>
            <w:pPr>
              <w:numPr>
                <w:ilvl w:val="0"/>
                <w:numId w:val="13"/>
              </w:numPr>
              <w:spacing w:before="0" w:after="0" w:line="240" w:lineRule="auto"/>
              <w:ind w:left="540" w:hanging="271"/>
            </w:pPr>
            <w:r>
              <w:rPr>
                <w:rFonts w:ascii="Segoe UI" w:hAnsi="Segoe UI"/>
                <w:color w:val="19322B"/>
                <w:sz w:val="20"/>
              </w:rPr>
              <w:t>Production-margin comparison</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Contact email composer</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Three public service offerings and corporate leadership</w:t>
      </w:r>
    </w:p>
    <w:p>
      <w:r>
        <w:rPr>
          <w:rFonts w:ascii="Segoe UI" w:hAnsi="Segoe UI"/>
          <w:color w:val="19322B"/>
          <w:sz w:val="22"/>
        </w:rPr>
        <w:t>The home page introduces Mission Journeys, Internship Placements, and Corporate Humanitarian Journeys before the destination grid. Use equally sized clickable cards on a forest gradient, warm paper surfaces, colored top accents, and rounded rectangular number badges. Each card opens one shared detail panel below the row. Keep the group independent of Our approach. Minimize pathway details and Escape close the panel and return focus. Use aria-expanded, aria-controls, hidden, and inert to reflect its state. Stack cards and panel columns on mobile and respect reduced motion. Keep the photographic hero, Georgia headings, and shared palette.</w:t>
      </w:r>
    </w:p>
    <w:p>
      <w:r>
        <w:rPr>
          <w:rFonts w:ascii="Segoe UI" w:hAnsi="Segoe UI"/>
          <w:color w:val="19322B"/>
          <w:sz w:val="22"/>
        </w:rPr>
        <w:t xml:space="preserve">Place the journey collage in its own paper section beneath the service cards. The six-panel collage excludes Nice and Belize. Each panel has a small location label; the Halifax panel and local destination tile use the verified English town view from Beacon Hill. The user requested removal of the AI-content text inside the collage. Preserve proportions and Mexico/Halifax credits and licenses. Use </w:t>
      </w:r>
      <w:r>
        <w:rPr>
          <w:rFonts w:ascii="Consolas" w:hAnsi="Consolas"/>
          <w:color w:val="173F35"/>
          <w:sz w:val="20"/>
          <w:shd w:fill="EDF5F1"/>
        </w:rPr>
        <w:t>assets/journey-collage-labeled.png</w:t>
      </w:r>
      <w:r>
        <w:rPr>
          <w:rFonts w:ascii="Segoe UI" w:hAnsi="Segoe UI"/>
          <w:color w:val="19322B"/>
          <w:sz w:val="22"/>
        </w:rPr>
        <w:t xml:space="preserve">; the tile uses </w:t>
      </w:r>
      <w:r>
        <w:rPr>
          <w:rFonts w:ascii="Consolas" w:hAnsi="Consolas"/>
          <w:color w:val="173F35"/>
          <w:sz w:val="20"/>
          <w:shd w:fill="EDF5F1"/>
        </w:rPr>
        <w:t>assets/halifax-england-beacon-hill.jpg</w:t>
      </w:r>
      <w:r>
        <w:rPr>
          <w:rFonts w:ascii="Segoe UI" w:hAnsi="Segoe UI"/>
          <w:color w:val="19322B"/>
          <w:sz w:val="22"/>
        </w:rPr>
        <w:t>.</w:t>
      </w:r>
    </w:p>
    <w:p>
      <w:r>
        <w:rPr>
          <w:rFonts w:ascii="Segoe UI" w:hAnsi="Segoe UI"/>
          <w:color w:val="19322B"/>
          <w:sz w:val="22"/>
        </w:rPr>
        <w:t xml:space="preserve">Corporate pages at </w:t>
      </w:r>
      <w:r>
        <w:rPr>
          <w:rFonts w:ascii="Consolas" w:hAnsi="Consolas"/>
          <w:color w:val="173F35"/>
          <w:sz w:val="20"/>
          <w:shd w:fill="EDF5F1"/>
        </w:rPr>
        <w:t>/corporate-journeys/</w:t>
      </w:r>
      <w:r>
        <w:rPr>
          <w:rFonts w:ascii="Segoe UI" w:hAnsi="Segoe UI"/>
          <w:color w:val="19322B"/>
          <w:sz w:val="22"/>
        </w:rPr>
        <w:t xml:space="preserve"> and </w:t>
      </w:r>
      <w:r>
        <w:rPr>
          <w:rFonts w:ascii="Consolas" w:hAnsi="Consolas"/>
          <w:color w:val="173F35"/>
          <w:sz w:val="20"/>
          <w:shd w:fill="EDF5F1"/>
        </w:rPr>
        <w:t>/corporate-journeys/curriculum/</w:t>
      </w:r>
      <w:r>
        <w:rPr>
          <w:rFonts w:ascii="Segoe UI" w:hAnsi="Segoe UI"/>
          <w:color w:val="19322B"/>
          <w:sz w:val="22"/>
        </w:rPr>
        <w:t xml:space="preserve"> use the existing paper, forest, gold, and coral tokens. The corporate introduction pairs a text lead with a forest panel; cards and stages stack on narrower screens. Shared navigation wraps on desktop and retains the Menu disclosure on mobile. The curriculum is titled Leadership Transformation, with eight readable sessions, anchor navigation, semantic lists, and a horizontally scrollable comparison table. Print rules affecting navigation are scoped to the curriculum body.</w:t>
      </w:r>
    </w:p>
    <w:p>
      <w:r>
        <w:rPr>
          <w:rFonts w:ascii="Segoe UI" w:hAnsi="Segoe UI"/>
          <w:color w:val="19322B"/>
          <w:sz w:val="22"/>
        </w:rPr>
        <w:t>Describe heart transformation as the foundation for observable leadership practice with staff, clients, and peers. Honor the agency, strengths, and freely shared stories of local people. Avoid guaranteed transformation, staged testimony, assumed consent, and claims that community members exist to educate visiting executives. State the Christian foundation and make spiritual reflection voluntary. These pages are local review only until release approval.</w:t>
      </w:r>
    </w:p>
    <w:p>
      <w:pPr>
        <w:pStyle w:val="Heading1"/>
      </w:pPr>
      <w:r>
        <w:rPr>
          <w:rFonts w:ascii="Georgia" w:hAnsi="Georgia"/>
          <w:b/>
          <w:color w:val="173F35"/>
          <w:sz w:val="32"/>
        </w:rPr>
        <w:t>Traveler workflow and private application screens</w:t>
      </w:r>
    </w:p>
    <w:p>
      <w:r>
        <w:rPr>
          <w:rFonts w:ascii="Segoe UI" w:hAnsi="Segoe UI"/>
          <w:color w:val="19322B"/>
          <w:sz w:val="22"/>
        </w:rPr>
        <w:t>Keep Rejected separate from the active roster. Reject selected explains that capacity belongs in Waitlisted and requires a labeled reason. The Rejected filter offers Re-add selected with clear history-preservation wording. Show prior-rejection note counts in roster rows, cross-trip reasons in Review / details, and dated, attributed Traveler review notes on the contact. Re-adding never removes those notes.</w:t>
      </w:r>
    </w:p>
    <w:p>
      <w:r>
        <w:rPr>
          <w:rFonts w:ascii="Segoe UI" w:hAnsi="Segoe UI"/>
          <w:color w:val="19322B"/>
          <w:sz w:val="22"/>
        </w:rPr>
        <w:t>Place Traveler workflow first under Travelers. Show stage counts above a searchable all-traveler table with names, current stage, application status/skip reason, background screening, follow-up date and actions. Keep selection and bulk controls together. Stage counts are filters; labels and counts must communicate state without color alone. A bulk confirmation dialog lists selected names and explains financial effects. Select all applies to visible rows; the selected count includes hidden selections until cleared.</w:t>
      </w:r>
    </w:p>
    <w:p>
      <w:r>
        <w:rPr>
          <w:rFonts w:ascii="Segoe UI" w:hAnsi="Segoe UI"/>
          <w:color w:val="19322B"/>
          <w:sz w:val="22"/>
        </w:rPr>
        <w:t>Use responsive table scrolling within its container, two-column profile fields on wide screens and one column on narrow screens. Application, contact-review, skip and screening dialogs use the shared cream/forest palette, visible labels, keyboard-accessible native dialogs and live error/status text. Existing palette tokens are sufficient; no color additions. Private application pages load /styles.css, remove the token fragment, and distinguish submission from approval or reservation. Prefill known traveler fields, explain that they remain editable, and ask the traveler to confirm citizenship when defaulted from contact country. Label personal-reference name/email as optional and explain that a pastor, ministry leader or other person who knows the applicant can speak to their character and suitability. Use associated field help for screen readers. Keep application-related contact fields inside a native Additional data disclosure, collapsed by default in contact detail and the contact editor. Place Edit additional data inside the disclosure and avoid an extra main-profile action. Keep new sensitive fields outside public pages and the shared traveler portal. Screening controls accept any vendor URL and a custom explanation. Preview the standard branded HS MMT email with WitLooL and signature before sending; display recipient count and test-capture status. Separate delivery labels from screening outcomes, and never imply that provider acceptance means inbox receipt or clearance. Label conditionally required screening fields, and focus visible save errors. Not needed requires no extra fields. Local review displays a sample-data banner.</w:t>
      </w:r>
    </w:p>
    <w:p>
      <w:pPr>
        <w:pStyle w:val="Heading1"/>
      </w:pPr>
      <w:r>
        <w:rPr>
          <w:rFonts w:ascii="Georgia" w:hAnsi="Georgia"/>
          <w:b/>
          <w:color w:val="173F35"/>
          <w:sz w:val="32"/>
        </w:rPr>
        <w:t>Potential travelers and contact journey history</w:t>
      </w:r>
    </w:p>
    <w:p>
      <w:r>
        <w:rPr>
          <w:rFonts w:ascii="Segoe UI" w:hAnsi="Segoe UI"/>
          <w:color w:val="19322B"/>
          <w:sz w:val="22"/>
        </w:rPr>
        <w:t>Place Potential travelers first under the Travelers work area. Use existing trip record cards and Add as traveler buttons, with an explanation of journey matching, departure dates, and account effects. Show progress and errors in a live status region. Contact Journey history uses existing linked-record rows with dates, role, member status, trip status, and Open trip links. Keep interests distinct from membership history and use shared palette tokens without new colors.</w:t>
      </w:r>
    </w:p>
    <w:p>
      <w:pPr>
        <w:pStyle w:val="Heading1"/>
      </w:pPr>
      <w:r>
        <w:rPr>
          <w:rFonts w:ascii="Georgia" w:hAnsi="Georgia"/>
          <w:b/>
          <w:color w:val="173F35"/>
          <w:sz w:val="32"/>
        </w:rPr>
        <w:t>Past trip story selection controls</w:t>
      </w:r>
    </w:p>
    <w:p>
      <w:r>
        <w:rPr>
          <w:rFonts w:ascii="Segoe UI" w:hAnsi="Segoe UI"/>
          <w:color w:val="19322B"/>
          <w:sz w:val="22"/>
        </w:rPr>
        <w:t>Past-trip story selection sections place Select all and Clear all beside each other using the existing memory-actions button layout. Show save progress and errors beside Save and preview as well as above the form, using live status text. Keep the controls within their fieldset, preserve individual checkboxes, and disable both buttons when the section is empty or the user has read-only access.</w:t>
      </w:r>
    </w:p>
    <w:p>
      <w:pPr>
        <w:pStyle w:val="Heading1"/>
      </w:pPr>
      <w:r>
        <w:rPr>
          <w:rFonts w:ascii="Georgia" w:hAnsi="Georgia"/>
          <w:b/>
          <w:color w:val="173F35"/>
          <w:sz w:val="32"/>
        </w:rPr>
        <w:t>Verified account email changes</w:t>
      </w:r>
    </w:p>
    <w:p>
      <w:r>
        <w:rPr>
          <w:rFonts w:ascii="Segoe UI" w:hAnsi="Segoe UI"/>
          <w:color w:val="19322B"/>
          <w:sz w:val="22"/>
        </w:rPr>
        <w:t>Keep the existing account form and shared palette. Explain that recovery email changes require the current password and a confirmation link, while ordinary profile changes do not. Label the password field clearly, show the pending address alongside the still-active recovery address, and offer Cancel pending email change. Use the semantic success token for successful account notices; errors retain the existing error treatment. The confirmation page describes the effect on shared sign-ins and asks for an explicit Confirm email address action before making the change. After confirmation, provide a Sign in link. Existing-user administrative email fields are read-only and direct the account owner to My profile. Retain visible labels, keyboard access, live status messages and responsive account layouts.</w:t>
      </w:r>
    </w:p>
    <w:p>
      <w:pPr>
        <w:pStyle w:val="Heading1"/>
      </w:pPr>
      <w:r>
        <w:rPr>
          <w:rFonts w:ascii="Georgia" w:hAnsi="Georgia"/>
          <w:b/>
          <w:color w:val="173F35"/>
          <w:sz w:val="32"/>
        </w:rPr>
        <w:t>Volunteer Time workspace and service reports</w:t>
      </w:r>
    </w:p>
    <w:p>
      <w:r>
        <w:rPr>
          <w:rFonts w:ascii="Segoe UI" w:hAnsi="Segoe UI"/>
          <w:color w:val="19322B"/>
          <w:sz w:val="22"/>
        </w:rPr>
        <w:t>Volunteer Time is a first-level link directly below Finances in the shared left navigation for Volunteer and Admin accounts. Volunteer-only users land here after login and see their service tools and account controls. Use the established finance workspace shell, shared /styles.css tokens and keyboard focus behavior. Do not add page-local color literals. The workspace has My hours, Reports &amp; history and administrator-only Review &amp; organizations tabs.</w:t>
      </w:r>
    </w:p>
    <w:p>
      <w:r>
        <w:rPr>
          <w:rFonts w:ascii="Segoe UI" w:hAnsi="Segoe UI"/>
          <w:color w:val="19322B"/>
          <w:sz w:val="22"/>
        </w:rPr>
        <w:t>Use a calendar-month selector and horizontally scrollable service table with date, hours, service/activity, service organization and row action. Hours display exactly one decimal, including totals. Add the leading zero when a user leaves a fractional-hours field, so .5 becomes 0.5; do not round invalid extra decimal places. Monthly reporting organization and recipient controls remain editable regardless of the send-report checkbox, which controls delivery intent only. Provide visible draft/submitted/approved/returned states and an explicit self-reported notice before approval. Announce saves/errors through a live status region; show review notes and duplicate warnings near entries. Keep service organization separate from reporting organization. Unsaved edits warn before navigation. Preserve the selected volunteer and month across page refreshes within the same browser tab so an administrator does not mistake another account’s blank table for lost hours. Mobile tables scroll within the card rather than widening the page.</w:t>
      </w:r>
    </w:p>
    <w:p>
      <w:r>
        <w:rPr>
          <w:rFonts w:ascii="Segoe UI" w:hAnsi="Segoe UI"/>
          <w:color w:val="19322B"/>
          <w:sz w:val="22"/>
        </w:rPr>
        <w:t>Organization restrictions are an administrator checkbox list: selecting none means all active organizations. Volunteers see a dropdown of permitted names only. Give each recipient email its own unique name, ID and autocomplete section within each form; preserve normal email suggestions without copying an address across recipients. Report forms use explicit start/end dates for month, calendar, fiscal, school and custom ranges. Explain that fiscal and school dates vary. Provide review confirmation before sending. A history card identifies report version, issued date, original report link and each delivery's status.</w:t>
      </w:r>
    </w:p>
    <w:p>
      <w:r>
        <w:rPr>
          <w:rFonts w:ascii="Segoe UI" w:hAnsi="Segoe UI"/>
          <w:color w:val="19322B"/>
          <w:sz w:val="22"/>
        </w:rPr>
        <w:t>Certified reports use HS palette values generated from the shared root, daily rows, monthly subtotals and a clear total. Close with the accuracy certification, WitLooL, Brent's private signature and the exact giving-email logo/contact/trademark footer shared by givingEmailFooter. Original report pages retain the embedded signature for printing; email embeds it by content ID. Draft hours never display this signed certification. Printed reports repeat table headers and avoid splitting a row; use browser Print / Save as PDF. Test displays captured delivery clearly.</w:t>
      </w:r>
    </w:p>
    <w:p>
      <w:pPr>
        <w:pStyle w:val="Heading1"/>
      </w:pPr>
      <w:r>
        <w:rPr>
          <w:rFonts w:ascii="Georgia" w:hAnsi="Georgia"/>
          <w:b/>
          <w:color w:val="173F35"/>
          <w:sz w:val="32"/>
        </w:rPr>
        <w:t>Portal guide navigation</w:t>
      </w:r>
    </w:p>
    <w:p>
      <w:r>
        <w:rPr>
          <w:rFonts w:ascii="Segoe UI" w:hAnsi="Segoe UI"/>
          <w:color w:val="19322B"/>
          <w:sz w:val="22"/>
        </w:rPr>
        <w:t>Authenticated portal footers stack guide links on separate lines. For portal administrators, MMT developer guide appears immediately below MMT user guide. Both use existing navigation colors and keyboard focus outlines. The developer web edition reuses the user guide page layout and shared palette, with horizontally scrollable tables and code examples on small screens, a clickable contents list, and Back to contents links.</w:t>
      </w:r>
    </w:p>
    <w:p>
      <w:pPr>
        <w:pStyle w:val="Heading1"/>
      </w:pPr>
      <w:r>
        <w:rPr>
          <w:rFonts w:ascii="Georgia" w:hAnsi="Georgia"/>
          <w:b/>
          <w:color w:val="173F35"/>
          <w:sz w:val="32"/>
        </w:rPr>
        <w:t>Live public questions and portal knowledge tools</w:t>
      </w:r>
    </w:p>
    <w:p>
      <w:r>
        <w:rPr>
          <w:rFonts w:ascii="Segoe UI" w:hAnsi="Segoe UI"/>
          <w:color w:val="19322B"/>
          <w:sz w:val="22"/>
        </w:rPr>
        <w:t>Each review card has one state-dependent reuse control: Approve for reuse before approval and Withdraw reuse after approval. Never display both reuse actions together. Keep FAQ Publish/Unpublish as its separate state-dependent control.</w:t>
      </w:r>
    </w:p>
    <w:p>
      <w:r>
        <w:rPr>
          <w:rFonts w:ascii="Segoe UI" w:hAnsi="Segoe UI"/>
          <w:color w:val="19322B"/>
          <w:sz w:val="22"/>
        </w:rPr>
        <w:t>Knowledge &amp; FAQ adds Move to trash on review entries and a separate Trash tab. The confirmation dialog lists active reuse approval, FAQ publication and essential pinning, then offers Yes, undo and move to trash or Cancel. Entries without those settings still receive a move confirmation. Restore returns entries to pending review. The shared public header links to /faq/ as FAQ, and the Explore footer uses Questions &amp; answers; use the existing mobile menu and shared palette.</w:t>
      </w:r>
    </w:p>
    <w:p>
      <w:r>
        <w:rPr>
          <w:rFonts w:ascii="Segoe UI" w:hAnsi="Segoe UI"/>
          <w:color w:val="19322B"/>
          <w:sz w:val="22"/>
        </w:rPr>
        <w:t>The public /faq/ page uses the shared site header and footer exactly once. Use a soft forest-and-gold introduction, a cream search panel, labeled 48px controls, and stacked paper answer cards with reviewed or essential badges and source links. Hide zero popularity counts, wrap filters on phones, and keep the complete privacy notice in an accessible details disclosure. faq/faq.css uses shared palette tokens; preserve visible keyboard focus and prevent horizontal overflow.</w:t>
      </w:r>
    </w:p>
    <w:p>
      <w:r>
        <w:rPr>
          <w:rFonts w:ascii="Segoe UI" w:hAnsi="Segoe UI"/>
          <w:color w:val="19322B"/>
          <w:sz w:val="22"/>
        </w:rPr>
        <w:t>The Knowledge &amp; FAQ review queue and source list use labeled native checkboxes, a Select all visible checkbox with an indeterminate state, and an Approve checked button showing the selected count. Already approved records have no selection checkbox. Disable approval when nothing is selected. Filtering sources clears hidden selections. Wrap controls on narrow screens and retain the shared paper, ink and line palette. Confirm the complete review before a batch; show progress, successful approval count and individual failures. Source visibility and FAQ publication remain separate from approval.</w:t>
      </w:r>
    </w:p>
    <w:p>
      <w:r>
        <w:rPr>
          <w:rFonts w:ascii="Segoe UI" w:hAnsi="Segoe UI"/>
          <w:color w:val="19322B"/>
          <w:sz w:val="22"/>
        </w:rPr>
        <w:t>Public pages use small circular “?” buttons inside content cards, photos and videos, plus a circular page launcher. Never insert these controls as siblings in a grid. For a collapsible details tile, place the question button inside its summary so it remains visible when closed and open; opening the assistant must preserve the disclosure state. Keep existing cards, columns and spacing intact; position the icons at the item’s upper right. Hover and keyboard focus show a small tooltip explaining that clicking opens an interactive question panel. Give each icon a descriptive accessible name, visible focus ring, and sufficient contrast. Tooltips must escape clipped card boundaries and follow their focused control during scrolling. The modal labels the assistant as AI, names its context, cites original public sources, and offers a clear close control. It uses the existing forest, gold, paper, cream, ink, muted and line tokens. On phones, controls wrap and the dialog fits the viewport. The private traveler and management pages do not receive public content buttons.</w:t>
      </w:r>
    </w:p>
    <w:p>
      <w:r>
        <w:rPr>
          <w:rFonts w:ascii="Segoe UI" w:hAnsi="Segoe UI"/>
          <w:color w:val="19322B"/>
          <w:sz w:val="22"/>
        </w:rPr>
        <w:t>When paid AI is off, use the explicit wording “Live AI is currently off” and label approved extracts as excerpts. Never substitute fictional preview answers on the live site. Missing information offers a private handoff to Brent through the existing interest form, without a promised response deadline. No private question or contact details appear in the URL. Optional browser read-aloud must be user initiated; voice recording and paid speech remain off in this release.</w:t>
      </w:r>
    </w:p>
    <w:p>
      <w:r>
        <w:rPr>
          <w:rFonts w:ascii="Segoe UI" w:hAnsi="Segoe UI"/>
          <w:color w:val="19322B"/>
          <w:sz w:val="22"/>
        </w:rPr>
        <w:t>The public Questions &amp; answers page presents a search field, all-time/recent popularity window, reviewed answers, source links, essential pins and estimated-browser counts. The portal left menu calls the workspace “Knowledge &amp; FAQ”; its tabs are “Review queue &amp; FAQ”, “Sources &amp; transcripts” and “Topics &amp; analytics”. Reuse approval and public publication stay visibly separate. Imported recordings say transcript_missing until full timestamped text is reviewed. Source edits explicitly warn that dependent approvals are withdrawn. Permission controls belong to existing user settings and server checks remain authoritative.</w:t>
      </w:r>
    </w:p>
    <w:p>
      <w:pPr>
        <w:pStyle w:val="Heading1"/>
      </w:pPr>
      <w:r>
        <w:rPr>
          <w:rFonts w:ascii="Georgia" w:hAnsi="Georgia"/>
          <w:b/>
          <w:color w:val="173F35"/>
          <w:sz w:val="32"/>
        </w:rPr>
        <w:t>Internship questions and knowledge preview</w:t>
      </w:r>
    </w:p>
    <w:p>
      <w:r>
        <w:rPr>
          <w:rFonts w:ascii="Segoe UI" w:hAnsi="Segoe UI"/>
          <w:color w:val="19322B"/>
          <w:sz w:val="22"/>
        </w:rPr>
        <w:t>The interactive mock preview starts with six fictional answer topics and example FAQ counts. Display SAMPLE ANSWER beside every fictional conversational response and Fictional sample on sample FAQs. Keep the sample-mode checkbox visible and explain that disabling it hides the fictional corpus and counts. Never present mock content as an interview transcript or a verified commitment. Clear my demo restores the fictional starter content; voice remains disabled.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The preview comparison adds an Internship knowledge assistant tile linking to </w:t>
      </w:r>
      <w:r>
        <w:rPr>
          <w:rFonts w:ascii="Consolas" w:hAnsi="Consolas"/>
          <w:color w:val="173F35"/>
          <w:sz w:val="20"/>
          <w:shd w:fill="EDF5F1"/>
        </w:rPr>
        <w:t>/intern-assistant/</w:t>
      </w:r>
      <w:r>
        <w:rPr>
          <w:rFonts w:ascii="Segoe UI" w:hAnsi="Segoe UI"/>
          <w:color w:val="19322B"/>
          <w:sz w:val="22"/>
        </w:rPr>
        <w:t>. Use the existing forest, paper, cream, gold, and coral tokens with Georgia headings and system body text. The internship landing page pairs an uncropped, proportionally scaled Athens photograph with the invitation. On wide screens, the question panel stays beside the content; below 950 pixels it becomes a normal full-width section before video and FAQ content. Video files load only after an explicit Load video action. The ministry selector and Ask about this video controls set a visible context label; Back to general internships clears it.</w:t>
      </w:r>
    </w:p>
    <w:p>
      <w:r>
        <w:rPr>
          <w:rFonts w:ascii="Segoe UI" w:hAnsi="Segoe UI"/>
          <w:color w:val="19322B"/>
          <w:sz w:val="22"/>
        </w:rPr>
        <w:t>Keep the working-preview notice, source-lookup limitation, missing-transcript notice, and browser-only review explanation visible. Show citations beside answers and separate feedback from reuse approval and FAQ publication. Do not imply that a role selector supplies real authentication. Disabled microphone controls say later; typed questions remain usable. Use explicit labels, focus outlines, semantic status/log regions, wrapping controls, and reduced-motion support. The source and review forms render user text as text, not HTML. Searchable FAQs explain ranking, pins, counting window, and anonymous-count limitations. This is preview only, using no new palette token or live portal layout change.</w:t>
      </w:r>
    </w:p>
    <w:p>
      <w:pPr>
        <w:pStyle w:val="Heading1"/>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full-size photos and videos in the shared popup.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the shared media popup. Photo buttons have an accessible full-size label.</w:t>
      </w:r>
    </w:p>
    <w:p>
      <w:r>
        <w:rPr>
          <w:rFonts w:ascii="Segoe UI" w:hAnsi="Segoe UI"/>
          <w:color w:val="19322B"/>
          <w:sz w:val="22"/>
        </w:rPr>
        <w:t>Photos and videos share a keyboard-accessible popup across traveler galleries, public dated trip pages, past-trip stories, and staff story previews. Keep the complete image or video frame visible with proportional contain sizing. Provide a sticky heading and Close button, Previous and Next controls, an item counter, captions, and credits. Navigation follows the displayed mixed-media gallery and wraps at either end. Left and Right arrows navigate unless video controls have focus; Escape closes. Pause and unload a video when leaving it, lock background scrolling while open, and restore focus to the original tile when closed. Use existing palette tokens and comfortable touch targets.</w:t>
      </w:r>
    </w:p>
    <w:p>
      <w:r>
        <w:rPr>
          <w:rFonts w:ascii="Segoe UI" w:hAnsi="Segoe UI"/>
          <w:color w:val="19322B"/>
          <w:sz w:val="22"/>
        </w:rPr>
        <w:t>Continue playback automatically only between explicitly numbered parts of the same recording, for example “Light Group interview — Part 1 of 3” followed by Part 2 of 3 on the same date. Stop after the final part or when the next part is missing or ambiguous. Do not turn the mixed gallery into a slideshow: photos and unrelated videos retain manual navigation. At the bottom of the popup, show the italic, parenthesized note “(The next segment will play automatically when this one ends.)” only when a matching next segment is available. Continue to update the heading, caption, credit, and announced item counter when a part changes; keep the existing Close and Previous/Next controls and video playback fallback. This local behavior change is pending release.</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Contact email composer</w:t>
      </w:r>
    </w:p>
    <w:p>
      <w:r>
        <w:rPr>
          <w:rFonts w:ascii="Segoe UI" w:hAnsi="Segoe UI"/>
          <w:color w:val="19322B"/>
          <w:sz w:val="22"/>
        </w:rPr>
        <w:t>Use the existing Selected contacts toolbar and primary Email selected contacts action in People and Contact spreadsheet. Contact checkboxes have person-specific accessible labels; the selected count remains visible across filters and pages. Keep the compact contact name, checkbox, and summary expansion controls distinct. Disable composing with no selection or without Contacts edit access.</w:t>
      </w:r>
    </w:p>
    <w:p>
      <w:r>
        <w:rPr>
          <w:rFonts w:ascii="Segoe UI" w:hAnsi="Segoe UI"/>
          <w:color w:val="19322B"/>
          <w:sz w:val="22"/>
        </w:rPr>
        <w:t>The contact email composer uses the existing native modal dialog and paper/forest palette, with a maximum desktop width of 850 pixels, a viewport-limited scroll area, and a fixed To: admin@hopesojourns.com line and full-width labeled BCC (hidden recipients), Subject, and Message fields. Wrap action buttons on phones. Display the standard Hope Sojourns footer below Message with its oval logo, Brent Kern signature, phone number, Christian Steps Ministries affiliation, WitLooL explanation, and both ministry links. The footer is included automatically; preserve its image proportions. Explain recipient separators, the 50-address limit, and that BCC hides addresses from other recipients beside the field. Show skipped contacts, configuration issues, and send status in readable text. Test capture must say that no email was sent; live acceptance must say Accepted for delivery. Use expandable history rows that distinguish visible To from hidden BCC or original visible recipients, with wrapped addresses and preserved message line breaks. Escape and Close protect unsent text from accidental dismissal and restore focus to the opening control.</w:t>
      </w:r>
    </w:p>
    <w:p>
      <w:r>
        <w:rPr>
          <w:rFonts w:ascii="Segoe UI" w:hAnsi="Segoe UI"/>
          <w:color w:val="19322B"/>
          <w:sz w:val="22"/>
        </w:rPr>
        <w:t>The People selection toolbar includes a labeled Select all visible contacts checkbox. Its indeterminate state reflects a partial selection, and its disabled state reflects an empty page. Keep Clear selection beside the selected count. Display the latest accepted group email date in the expanded contact summary; provide a Contact email history section in the full record with expandable subjects, explicit delivery states, timestamps, and View all contact emails pagination. Replace the contact's embedded reply form with an Interest awaiting reply button only when a form needs a response. Preserve past Reply history and the task controls. The interest button opens the shared composer and follows Contacts edit permission.</w:t>
      </w:r>
    </w:p>
    <w:p>
      <w:r>
        <w:rPr>
          <w:rFonts w:ascii="Segoe UI" w:hAnsi="Segoe UI"/>
          <w:color w:val="19322B"/>
          <w:sz w:val="22"/>
        </w:rPr>
        <w:t>Inbox Show includes Emails sent, with readable cards for subject and accepted timestamp and expandable View sent copy details. Keep full message text and footer line breaks, wrap addresses on narrow screens, and distinguish To from BCC. Use Previous emails and Next emails with a page count. Accepted copies have no Complete, Delete, or Retry actions in this view. State clearly that acceptance does not confirm receipt and that test captures and unsuccessful sends remain in Email history. Reuse existing palette tokens and card styles.</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26, 2026 — Version 4.81. Added Select all visible contacts, per-contact email history, Interest awaiting reply, and the Emails sent inbox view. Local change pending release approval.</w:t>
      </w:r>
    </w:p>
    <w:p>
      <w:pPr>
        <w:keepLines/>
        <w:numPr>
          <w:ilvl w:val="0"/>
          <w:numId w:val="10"/>
        </w:numPr>
        <w:spacing w:before="0" w:after="80" w:line="300" w:lineRule="auto"/>
        <w:ind w:left="540" w:hanging="271"/>
      </w:pPr>
      <w:r>
        <w:rPr>
          <w:rFonts w:ascii="Segoe UI" w:hAnsi="Segoe UI"/>
          <w:color w:val="19322B"/>
          <w:sz w:val="22"/>
        </w:rPr>
        <w:t>October 26, 2026 — Version 4.80. Changed the contact composer to show fixed To and editable BCC hidden recipients, privacy help, and accurate historical recipient labels. Local change pending release approval.</w:t>
      </w:r>
    </w:p>
    <w:p>
      <w:pPr>
        <w:keepLines/>
        <w:numPr>
          <w:ilvl w:val="0"/>
          <w:numId w:val="10"/>
        </w:numPr>
        <w:spacing w:before="0" w:after="80" w:line="300" w:lineRule="auto"/>
        <w:ind w:left="540" w:hanging="271"/>
      </w:pPr>
      <w:r>
        <w:rPr>
          <w:rFonts w:ascii="Segoe UI" w:hAnsi="Segoe UI"/>
          <w:color w:val="19322B"/>
          <w:sz w:val="22"/>
        </w:rPr>
        <w:t>October 26, 2026 — Version 4.79. Added contact selection, accessible group email modal, responsive fields, standard signed footer preview, and truthful delivery and retry states. Local change pending release approval.</w:t>
      </w:r>
    </w:p>
    <w:p>
      <w:pPr>
        <w:keepLines/>
        <w:numPr>
          <w:ilvl w:val="0"/>
          <w:numId w:val="10"/>
        </w:numPr>
        <w:spacing w:before="0" w:after="80" w:line="300" w:lineRule="auto"/>
        <w:ind w:left="540" w:hanging="271"/>
      </w:pPr>
      <w:r>
        <w:rPr>
          <w:rFonts w:ascii="Segoe UI" w:hAnsi="Segoe UI"/>
          <w:color w:val="19322B"/>
          <w:sz w:val="22"/>
        </w:rPr>
        <w:t>October 26, 2026 — Version 4.78. Restyled service pathways with distinct number badges, equal-height clickable cards, and an independent shared detail panel. Added the collage excluding Nice and Belize, then small location labels, a verified Halifax town photo, and user-requested removal of the image's AI-content text. Existing palette and keyboard behavior. Local review only.</w:t>
      </w:r>
    </w:p>
    <w:p>
      <w:pPr>
        <w:keepLines/>
        <w:numPr>
          <w:ilvl w:val="0"/>
          <w:numId w:val="10"/>
        </w:numPr>
        <w:spacing w:before="0" w:after="80" w:line="300" w:lineRule="auto"/>
        <w:ind w:left="540" w:hanging="271"/>
      </w:pPr>
      <w:r>
        <w:rPr>
          <w:rFonts w:ascii="Segoe UI" w:hAnsi="Segoe UI"/>
          <w:color w:val="19322B"/>
          <w:sz w:val="22"/>
        </w:rPr>
        <w:t>October 26, 2026 — Version 4.77. Rebalanced the home page around three service offerings; added corporate humanitarian journeys and the Leadership Transformation curriculum with responsive layouts and shared navigation. Existing palette only. Localhost review; no release authorized.</w:t>
      </w:r>
    </w:p>
    <w:p>
      <w:pPr>
        <w:keepLines/>
        <w:numPr>
          <w:ilvl w:val="0"/>
          <w:numId w:val="10"/>
        </w:numPr>
        <w:spacing w:before="0" w:after="80" w:line="300" w:lineRule="auto"/>
        <w:ind w:left="540" w:hanging="271"/>
      </w:pPr>
      <w:r>
        <w:rPr>
          <w:rFonts w:ascii="Segoe UI" w:hAnsi="Segoe UI"/>
          <w:color w:val="19322B"/>
          <w:sz w:val="22"/>
        </w:rPr>
        <w:t>October 26, 2026 — Version 4.76. Expanded the Mexico destination with a proposed six-day rhythm, partner-led service, preparation, explicit estimated pricing and transparent stewardship. Reused the Mexico brochure outreach photo at its full aspect ratio with a contextual caption. Scoped Mexico styles reuse palette tokens and preserve other destination layouts. Release authorized for test and production on October 26, 2026; verify the deployed version before training.</w:t>
      </w:r>
    </w:p>
    <w:p>
      <w:pPr>
        <w:keepLines/>
        <w:numPr>
          <w:ilvl w:val="0"/>
          <w:numId w:val="10"/>
        </w:numPr>
        <w:spacing w:before="0" w:after="80" w:line="300" w:lineRule="auto"/>
        <w:ind w:left="540" w:hanging="271"/>
      </w:pPr>
      <w:r>
        <w:rPr>
          <w:rFonts w:ascii="Segoe UI" w:hAnsi="Segoe UI"/>
          <w:color w:val="19322B"/>
          <w:sz w:val="22"/>
        </w:rPr>
        <w:t>October 26, 2026 — Version 4.75. Destination interest forms include optional Age range radio buttons, Occupation (Student if still in school), and Church. Age choices preserve guardian and parental-consent guidance beside the minor ranges. Additional data displays matching age labels and editable age/occupation fields, reusing Church / ministry. Existing contact-match review presents each new value as an explicit checkbox; no new colors. Local change pending release.</w:t>
      </w:r>
    </w:p>
    <w:p>
      <w:pPr>
        <w:keepLines/>
        <w:numPr>
          <w:ilvl w:val="0"/>
          <w:numId w:val="10"/>
        </w:numPr>
        <w:spacing w:before="0" w:after="80" w:line="300" w:lineRule="auto"/>
        <w:ind w:left="540" w:hanging="271"/>
      </w:pPr>
      <w:r>
        <w:rPr>
          <w:rFonts w:ascii="Segoe UI" w:hAnsi="Segoe UI"/>
          <w:color w:val="19322B"/>
          <w:sz w:val="22"/>
        </w:rPr>
        <w:t>October 25, 2026 — Version 4.74. Combined application request and email buttons into one Request application flow. The dialog shows current contact emails, a clear regeneration choice and an optional additional-information textarea. Preview separates actual recipients from Not sending explanations, preserves the standard WitLooL/signature template and offers Back to invitation without losing the draft message. Released to test and production with isolated databases and private uploads. All 380 tests and browser checks passed; deployed assets, API health and database integrity were verified. Test captures invitations; production uses configured live portal email.</w:t>
      </w:r>
    </w:p>
    <w:p>
      <w:pPr>
        <w:keepLines/>
        <w:numPr>
          <w:ilvl w:val="0"/>
          <w:numId w:val="10"/>
        </w:numPr>
        <w:spacing w:before="0" w:after="80" w:line="300" w:lineRule="auto"/>
        <w:ind w:left="540" w:hanging="271"/>
      </w:pPr>
      <w:r>
        <w:rPr>
          <w:rFonts w:ascii="Segoe UI" w:hAnsi="Segoe UI"/>
          <w:color w:val="19322B"/>
          <w:sz w:val="22"/>
        </w:rPr>
        <w:t>October 25, 2026 — Version 4.73. Traveler Stage labels use font weight 800 so their status colors are easier to distinguish. Row backgrounds and other text remain unchanged. Local review only.</w:t>
      </w:r>
    </w:p>
    <w:p>
      <w:pPr>
        <w:keepLines/>
        <w:numPr>
          <w:ilvl w:val="0"/>
          <w:numId w:val="10"/>
        </w:numPr>
        <w:spacing w:before="0" w:after="80" w:line="300" w:lineRule="auto"/>
        <w:ind w:left="540" w:hanging="271"/>
      </w:pPr>
      <w:r>
        <w:rPr>
          <w:rFonts w:ascii="Segoe UI" w:hAnsi="Segoe UI"/>
          <w:color w:val="19322B"/>
          <w:sz w:val="22"/>
        </w:rPr>
        <w:t>October 25, 2026 — Version 4.72. Color only traveler workflow Stage text: Confirmed uses dark success green; Rejected, Waitlisted and Withdrawn use error red; Contacted and Application use info blue; Review and Approved use warning gold; Received uses normal ink. Preserve row backgrounds and all other text. The explicit label remains present for accessibility. Reuse existing palette tokens without new colors. Local review only.</w:t>
      </w:r>
    </w:p>
    <w:p>
      <w:pPr>
        <w:keepLines/>
        <w:numPr>
          <w:ilvl w:val="0"/>
          <w:numId w:val="10"/>
        </w:numPr>
        <w:spacing w:before="0" w:after="80" w:line="300" w:lineRule="auto"/>
        <w:ind w:left="540" w:hanging="271"/>
      </w:pPr>
      <w:r>
        <w:rPr>
          <w:rFonts w:ascii="Segoe UI" w:hAnsi="Segoe UI"/>
          <w:color w:val="19322B"/>
          <w:sz w:val="22"/>
        </w:rPr>
        <w:t>October 25, 2026 — Version 4.71. Additional data editing groups staff-only investigation date, company, reference and type in a labeled fieldset. Proof image selection shows optimization progress, original and saved size, a proportional preview, and explicit Save; existing proof is viewed through a private link. Images retain their complete content without cropping. Local review only.</w:t>
      </w:r>
    </w:p>
    <w:p>
      <w:pPr>
        <w:keepLines/>
        <w:numPr>
          <w:ilvl w:val="0"/>
          <w:numId w:val="10"/>
        </w:numPr>
        <w:spacing w:before="0" w:after="80" w:line="300" w:lineRule="auto"/>
        <w:ind w:left="540" w:hanging="271"/>
      </w:pPr>
      <w:r>
        <w:rPr>
          <w:rFonts w:ascii="Segoe UI" w:hAnsi="Segoe UI"/>
          <w:color w:val="19322B"/>
          <w:sz w:val="22"/>
        </w:rPr>
        <w:t>October 25, 2026 — Version 4.70. Added standard branded application invitation email previews with a trip-specific introduction, one-use URL warning, admin@hopesojourns.com replacement instructions and shared WitLooL/signature footer. Traveler forms and collapsed Additional data share an optional Yes/No/Not sure background-check-on-file question. Local review only.</w:t>
      </w:r>
    </w:p>
    <w:p>
      <w:pPr>
        <w:keepLines/>
        <w:numPr>
          <w:ilvl w:val="0"/>
          <w:numId w:val="10"/>
        </w:numPr>
        <w:spacing w:before="0" w:after="80" w:line="300" w:lineRule="auto"/>
        <w:ind w:left="540" w:hanging="271"/>
      </w:pPr>
      <w:r>
        <w:rPr>
          <w:rFonts w:ascii="Segoe UI" w:hAnsi="Segoe UI"/>
          <w:color w:val="19322B"/>
          <w:sz w:val="22"/>
        </w:rPr>
        <w:t>October 25, 2026 — Version 4.69. Added the explicit Reject application decision, conditional required reason and separate rejected-application history. Copying answers is disabled for rejection. Application rejected indicators remain distinct from traveler rejection and preserve a compact contact layout. Local review only.</w:t>
      </w:r>
    </w:p>
    <w:p>
      <w:pPr>
        <w:keepLines/>
        <w:numPr>
          <w:ilvl w:val="0"/>
          <w:numId w:val="10"/>
        </w:numPr>
        <w:spacing w:before="0" w:after="80" w:line="300" w:lineRule="auto"/>
        <w:ind w:left="540" w:hanging="271"/>
      </w:pPr>
      <w:r>
        <w:rPr>
          <w:rFonts w:ascii="Segoe UI" w:hAnsi="Segoe UI"/>
          <w:color w:val="19322B"/>
          <w:sz w:val="22"/>
        </w:rPr>
        <w:t>October 25, 2026 — Version 4.68. Traveler applications use matching Received, Reviewed and Approved indicators in Inbox, departure roster and collapsed Additional data. Contact summaries flag pending applications without expanding the form. Review decision is explicit and separate from trip confirmation. Local review only.</w:t>
      </w:r>
    </w:p>
    <w:p>
      <w:pPr>
        <w:keepLines/>
        <w:numPr>
          <w:ilvl w:val="0"/>
          <w:numId w:val="10"/>
        </w:numPr>
        <w:spacing w:before="0" w:after="80" w:line="300" w:lineRule="auto"/>
        <w:ind w:left="540" w:hanging="271"/>
      </w:pPr>
      <w:r>
        <w:rPr>
          <w:rFonts w:ascii="Segoe UI" w:hAnsi="Segoe UI"/>
          <w:color w:val="19322B"/>
          <w:sz w:val="22"/>
        </w:rPr>
        <w:t>October 25, 2026 — Version 4.67. Traveler phone fields and readouts use the shared HS U.S. format, such as (972)505-0171, in the application, Additional data and review dialog. Local review only.</w:t>
      </w:r>
    </w:p>
    <w:p>
      <w:pPr>
        <w:keepLines/>
        <w:numPr>
          <w:ilvl w:val="0"/>
          <w:numId w:val="10"/>
        </w:numPr>
        <w:spacing w:before="0" w:after="80" w:line="300" w:lineRule="auto"/>
        <w:ind w:left="540" w:hanging="271"/>
      </w:pPr>
      <w:r>
        <w:rPr>
          <w:rFonts w:ascii="Segoe UI" w:hAnsi="Segoe UI"/>
          <w:color w:val="19322B"/>
          <w:sz w:val="22"/>
        </w:rPr>
        <w:t>October 25, 2026 — Version 4.66. Additional data shows name and citizenship read-only with guidance to edit their main contact source. Local review only.</w:t>
      </w:r>
    </w:p>
    <w:p>
      <w:pPr>
        <w:keepLines/>
        <w:numPr>
          <w:ilvl w:val="0"/>
          <w:numId w:val="10"/>
        </w:numPr>
        <w:spacing w:before="0" w:after="80" w:line="300" w:lineRule="auto"/>
        <w:ind w:left="540" w:hanging="271"/>
      </w:pPr>
      <w:r>
        <w:rPr>
          <w:rFonts w:ascii="Segoe UI" w:hAnsi="Segoe UI"/>
          <w:color w:val="19322B"/>
          <w:sz w:val="22"/>
        </w:rPr>
        <w:t>October 25, 2026 — Version 4.65. Added editable application prefills and clear optional personal-reference labels, field help and a collapsed Additional data contact section. Local review only.</w:t>
      </w:r>
    </w:p>
    <w:p>
      <w:pPr>
        <w:keepLines/>
        <w:numPr>
          <w:ilvl w:val="0"/>
          <w:numId w:val="10"/>
        </w:numPr>
        <w:spacing w:before="0" w:after="80" w:line="300" w:lineRule="auto"/>
        <w:ind w:left="540" w:hanging="271"/>
      </w:pPr>
      <w:r>
        <w:rPr>
          <w:rFonts w:ascii="Segoe UI" w:hAnsi="Segoe UI"/>
          <w:color w:val="19322B"/>
          <w:sz w:val="22"/>
        </w:rPr>
        <w:t>October 25, 2026 — Version 4.64. Added Rejected and Re-add controls, required suitability reasons and retained contact review notes; distinguished Waitlisted capacity. Local review only.</w:t>
      </w:r>
    </w:p>
    <w:p>
      <w:pPr>
        <w:keepLines/>
        <w:numPr>
          <w:ilvl w:val="0"/>
          <w:numId w:val="10"/>
        </w:numPr>
        <w:spacing w:before="0" w:after="80" w:line="300" w:lineRule="auto"/>
        <w:ind w:left="540" w:hanging="271"/>
      </w:pPr>
      <w:r>
        <w:rPr>
          <w:rFonts w:ascii="Segoe UI" w:hAnsi="Segoe UI"/>
          <w:color w:val="19322B"/>
          <w:sz w:val="22"/>
        </w:rPr>
        <w:t>October 25, 2026 — Version 4.63. Added local traveler workflow, optional application exceptions, private contact details and optional background screening; pending local review. Fixed screening Save for Not needed and clarified conditional required fields and visible errors.</w:t>
      </w:r>
    </w:p>
    <w:p>
      <w:pPr>
        <w:keepLines/>
        <w:numPr>
          <w:ilvl w:val="0"/>
          <w:numId w:val="10"/>
        </w:numPr>
        <w:spacing w:before="0" w:after="80" w:line="300" w:lineRule="auto"/>
        <w:ind w:left="540" w:hanging="271"/>
      </w:pPr>
      <w:r>
        <w:rPr>
          <w:rFonts w:ascii="Segoe UI" w:hAnsi="Segoe UI"/>
          <w:color w:val="19322B"/>
          <w:sz w:val="22"/>
        </w:rPr>
        <w:t>October 23, 2026 — Added potential traveler conversion and dated contact journey history. Local pending release.</w:t>
      </w:r>
    </w:p>
    <w:p>
      <w:pPr>
        <w:keepLines/>
        <w:numPr>
          <w:ilvl w:val="0"/>
          <w:numId w:val="10"/>
        </w:numPr>
        <w:spacing w:before="0" w:after="80" w:line="300" w:lineRule="auto"/>
        <w:ind w:left="540" w:hanging="271"/>
      </w:pPr>
      <w:r>
        <w:rPr>
          <w:rFonts w:ascii="Segoe UI" w:hAnsi="Segoe UI"/>
          <w:color w:val="19322B"/>
          <w:sz w:val="22"/>
        </w:rPr>
        <w:t>October 22, 2026 — Fixed story preview selection eligibility and added save feedback beside the button. Local pending release.</w:t>
      </w:r>
    </w:p>
    <w:p>
      <w:pPr>
        <w:keepLines/>
        <w:numPr>
          <w:ilvl w:val="0"/>
          <w:numId w:val="10"/>
        </w:numPr>
        <w:spacing w:before="0" w:after="80" w:line="300" w:lineRule="auto"/>
        <w:ind w:left="540" w:hanging="271"/>
      </w:pPr>
      <w:r>
        <w:rPr>
          <w:rFonts w:ascii="Segoe UI" w:hAnsi="Segoe UI"/>
          <w:color w:val="19322B"/>
          <w:sz w:val="22"/>
        </w:rPr>
        <w:t>October 22, 2026 — Added section-specific Select all and Clear all controls to Past-trip story. Local pending release.</w:t>
      </w:r>
    </w:p>
    <w:p>
      <w:pPr>
        <w:keepLines/>
        <w:numPr>
          <w:ilvl w:val="0"/>
          <w:numId w:val="10"/>
        </w:numPr>
        <w:spacing w:before="0" w:after="80" w:line="300" w:lineRule="auto"/>
        <w:ind w:left="540" w:hanging="271"/>
      </w:pPr>
      <w:r>
        <w:rPr>
          <w:rFonts w:ascii="Segoe UI" w:hAnsi="Segoe UI"/>
          <w:color w:val="19322B"/>
          <w:sz w:val="22"/>
        </w:rPr>
        <w:t>October 20, 2026 - Version 4.62. Added verified recovery-address changes, protected account forms and atomic concurrent-login limits. Session timeouts remain unchanged.</w:t>
      </w:r>
    </w:p>
    <w:p>
      <w:pPr>
        <w:keepLines/>
        <w:numPr>
          <w:ilvl w:val="0"/>
          <w:numId w:val="10"/>
        </w:numPr>
        <w:spacing w:before="0" w:after="80" w:line="300" w:lineRule="auto"/>
        <w:ind w:left="540" w:hanging="271"/>
      </w:pPr>
      <w:r>
        <w:rPr>
          <w:rFonts w:ascii="Segoe UI" w:hAnsi="Segoe UI"/>
          <w:color w:val="19322B"/>
          <w:sz w:val="22"/>
        </w:rPr>
        <w:t>October 20, 2026 — Version 4.58.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4.55.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4.54.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4.52. Added compact question-mark icons with hover/focus hints, preserved card grids, and documented original public content search.</w:t>
      </w:r>
    </w:p>
    <w:p>
      <w:pPr>
        <w:keepLines/>
        <w:numPr>
          <w:ilvl w:val="0"/>
          <w:numId w:val="10"/>
        </w:numPr>
        <w:spacing w:before="0" w:after="80" w:line="300" w:lineRule="auto"/>
        <w:ind w:left="540" w:hanging="271"/>
      </w:pPr>
      <w:r>
        <w:rPr>
          <w:rFonts w:ascii="Segoe UI" w:hAnsi="Segoe UI"/>
          <w:color w:val="19322B"/>
          <w:sz w:val="22"/>
        </w:rPr>
        <w:t>October 16, 2026 — Version 4.51.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4.50.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4.49. Documented the preview internship question panel, contextual video controls, review and FAQ presentation, privacy/limitations, and responsive behavior. Preview only.</w:t>
      </w:r>
    </w:p>
    <w:p>
      <w:pPr>
        <w:keepNext/>
        <w:keepLines/>
        <w:numPr>
          <w:ilvl w:val="0"/>
          <w:numId w:val="10"/>
        </w:numPr>
        <w:spacing w:before="0" w:after="80" w:line="300" w:lineRule="auto"/>
        <w:ind w:left="540" w:hanging="271"/>
      </w:pPr>
      <w:r>
        <w:rPr>
          <w:rFonts w:ascii="Segoe UI" w:hAnsi="Segoe UI"/>
          <w:color w:val="19322B"/>
          <w:sz w:val="22"/>
        </w:rPr>
        <w:t>October 15, 2026 — Version 4.48. Documented automatic continuation only within numbered parts of one recording, with manual photo and unrelated-video navigation retained and an italic continuation note in the popup.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4.47. Added the shared full-size photo/video popup, Close and Previous/Next controls, keyboard navigation, complete-image display, and mobile layout. Technical Word guides use a two-column map for long section lists to avoid nearly empty spillover pages.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24, 2026</w:t>
            </w:r>
          </w:p>
        </w:tc>
        <w:tc>
          <w:tcPr>
            <w:tcW w:type="dxa" w:w="3580"/>
            <w:vAlign w:val="center"/>
          </w:tcPr>
          <w:p>
            <w:pPr>
              <w:spacing w:before="0" w:after="0" w:line="240" w:lineRule="auto"/>
            </w:pPr>
            <w:r>
              <w:rPr>
                <w:rFonts w:ascii="Segoe UI" w:hAnsi="Segoe UI"/>
                <w:color w:val="19322B"/>
                <w:sz w:val="16"/>
              </w:rPr>
              <w:t>4.13</w:t>
            </w:r>
          </w:p>
        </w:tc>
        <w:tc>
          <w:tcPr>
            <w:tcW w:type="dxa" w:w="3580"/>
            <w:vAlign w:val="center"/>
          </w:tcPr>
          <w:p>
            <w:pPr>
              <w:spacing w:before="0" w:after="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0" w:line="240" w:lineRule="auto"/>
            </w:pPr>
            <w:r>
              <w:rPr>
                <w:rFonts w:ascii="Segoe UI" w:hAnsi="Segoe UI"/>
                <w:color w:val="19322B"/>
                <w:sz w:val="16"/>
              </w:rPr>
              <w:t>2026-09-04</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