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4.41</w:t>
      </w:r>
      <w:r>
        <w:rPr>
          <w:rFonts w:ascii="Segoe UI" w:hAnsi="Segoe UI"/>
          <w:color w:val="D99B42"/>
          <w:sz w:val="20"/>
        </w:rPr>
        <w:t xml:space="preserve">  •  </w:t>
      </w:r>
      <w:r>
        <w:rPr>
          <w:rFonts w:ascii="Segoe UI" w:hAnsi="Segoe UI"/>
          <w:color w:val="60726B"/>
          <w:sz w:val="20"/>
        </w:rPr>
        <w:t>Last reviewed October 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ministry partner recognition</w:t>
      </w:r>
    </w:p>
    <w:p>
      <w:pPr>
        <w:numPr>
          <w:ilvl w:val="0"/>
          <w:numId w:val="13"/>
        </w:numPr>
        <w:spacing w:before="0" w:after="0" w:line="220" w:lineRule="exact"/>
        <w:ind w:left="540" w:hanging="271"/>
      </w:pPr>
      <w:r>
        <w:rPr>
          <w:rFonts w:ascii="Segoe UI" w:hAnsi="Segoe UI"/>
          <w:color w:val="19322B"/>
          <w:sz w:val="20"/>
        </w:rPr>
        <w:t>Ministry home layout</w:t>
      </w:r>
    </w:p>
    <w:p>
      <w:pPr>
        <w:numPr>
          <w:ilvl w:val="0"/>
          <w:numId w:val="13"/>
        </w:numPr>
        <w:spacing w:before="0" w:after="0" w:line="220" w:lineRule="exact"/>
        <w:ind w:left="540" w:hanging="271"/>
      </w:pPr>
      <w:r>
        <w:rPr>
          <w:rFonts w:ascii="Segoe UI" w:hAnsi="Segoe UI"/>
          <w:color w:val="19322B"/>
          <w:sz w:val="20"/>
        </w:rPr>
        <w:t>Payment inbox contact association</w:t>
      </w:r>
    </w:p>
    <w:p>
      <w:pPr>
        <w:numPr>
          <w:ilvl w:val="0"/>
          <w:numId w:val="13"/>
        </w:numPr>
        <w:spacing w:before="0" w:after="0" w:line="220" w:lineRule="exact"/>
        <w:ind w:left="540" w:hanging="271"/>
      </w:pPr>
      <w:r>
        <w:rPr>
          <w:rFonts w:ascii="Segoe UI" w:hAnsi="Segoe UI"/>
          <w:color w:val="19322B"/>
          <w:sz w:val="20"/>
        </w:rPr>
        <w:t>Inquiry follow-up controls</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Three ways to serve in the local preview</w:t>
      </w:r>
    </w:p>
    <w:p>
      <w:pPr>
        <w:numPr>
          <w:ilvl w:val="0"/>
          <w:numId w:val="13"/>
        </w:numPr>
        <w:spacing w:before="0" w:after="0" w:line="220" w:lineRule="exact"/>
        <w:ind w:left="540" w:hanging="271"/>
      </w:pPr>
      <w:r>
        <w:rPr>
          <w:rFonts w:ascii="Segoe UI" w:hAnsi="Segoe UI"/>
          <w:color w:val="19322B"/>
          <w:sz w:val="20"/>
        </w:rPr>
        <w:t>Production-margin comparison</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