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drawing>
          <wp:inline xmlns:a="http://schemas.openxmlformats.org/drawingml/2006/main" xmlns:pic="http://schemas.openxmlformats.org/drawingml/2006/picture">
            <wp:extent cx="1965960" cy="10956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pe-sojourns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65960" cy="1095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/>
      </w:pPr>
      <w:r>
        <w:rPr>
          <w:rFonts w:ascii="Calibri" w:hAnsi="Calibri"/>
          <w:b/>
          <w:color w:val="D99B42"/>
          <w:sz w:val="18"/>
        </w:rPr>
        <w:t>PROGRAM POLICY</w:t>
      </w:r>
    </w:p>
    <w:p>
      <w:pPr>
        <w:pStyle w:val="Title"/>
      </w:pPr>
      <w:r>
        <w:t>Background Check Policy</w:t>
      </w:r>
    </w:p>
    <w:p>
      <w:pPr>
        <w:spacing w:after="280"/>
      </w:pPr>
      <w:r>
        <w:rPr>
          <w:rFonts w:ascii="Calibri" w:hAnsi="Calibri"/>
          <w:i/>
          <w:color w:val="5A6E67"/>
          <w:sz w:val="24"/>
        </w:rPr>
        <w:t>Screening standards for internship participants and leaders</w:t>
      </w:r>
    </w:p>
    <w:p>
      <w:pPr>
        <w:spacing w:after="320"/>
        <w:pBdr>
          <w:bottom w:val="single" w:sz="16" w:space="6" w:color="D99B42"/>
        </w:pBdr>
      </w:pPr>
      <w:r>
        <w:rPr>
          <w:rFonts w:ascii="Calibri" w:hAnsi="Calibri"/>
          <w:b/>
          <w:color w:val="174F43"/>
          <w:sz w:val="18"/>
        </w:rPr>
        <w:t>Draft for adoption  |  August 2026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0EC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9B2F2F"/>
                <w:sz w:val="17"/>
              </w:rPr>
              <w:t>REVIEW BEFORE USE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19322B"/>
                <w:sz w:val="21"/>
              </w:rPr>
              <w:t>This is an operational draft, not legal advice. Hope Sojourns should have Texas counsel, its insurance broker, and each participating university review the document before adoption. Country-specific counsel may be needed for international placements.</w:t>
            </w:r>
          </w:p>
        </w:tc>
      </w:tr>
    </w:tbl>
    <w:p>
      <w:pPr>
        <w:spacing w:after="0"/>
      </w:pPr>
    </w:p>
    <w:p>
      <w:pPr>
        <w:pStyle w:val="Heading1"/>
      </w:pPr>
      <w:r>
        <w:t>1. Purpose</w:t>
      </w:r>
    </w:p>
    <w:p>
      <w:r>
        <w:rPr>
          <w:rFonts w:ascii="Calibri" w:hAnsi="Calibri"/>
          <w:color w:val="19322B"/>
        </w:rPr>
        <w:t>Background screening supports informed placement decisions and helps protect students, ministries, children, vulnerable adults, and communities. A background check is one part of screening and does not replace references, interviews, training, supervision, or safeguarding controls.</w:t>
      </w:r>
    </w:p>
    <w:p>
      <w:pPr>
        <w:pStyle w:val="Heading1"/>
      </w:pPr>
      <w:r>
        <w:t>2. Who is screened</w:t>
      </w:r>
    </w:p>
    <w:p>
      <w:pPr>
        <w:pStyle w:val="ListBullet"/>
      </w:pPr>
      <w:r>
        <w:rPr>
          <w:rFonts w:ascii="Calibri" w:hAnsi="Calibri"/>
          <w:color w:val="19322B"/>
        </w:rPr>
        <w:t>Hope Sojourns leaders who travel with or supervise students</w:t>
      </w:r>
    </w:p>
    <w:p>
      <w:pPr>
        <w:pStyle w:val="ListBullet"/>
      </w:pPr>
      <w:r>
        <w:rPr>
          <w:rFonts w:ascii="Calibri" w:hAnsi="Calibri"/>
          <w:color w:val="19322B"/>
        </w:rPr>
        <w:t>Interns whose duties involve children, vulnerable adults, survivor services, homes, finances, transportation, or unsupervised access</w:t>
      </w:r>
    </w:p>
    <w:p>
      <w:pPr>
        <w:pStyle w:val="ListBullet"/>
      </w:pPr>
      <w:r>
        <w:rPr>
          <w:rFonts w:ascii="Calibri" w:hAnsi="Calibri"/>
          <w:color w:val="19322B"/>
        </w:rPr>
        <w:t>Other staff, volunteers, or contractors when required by law, a university, insurer, or host ministry</w:t>
      </w:r>
    </w:p>
    <w:p>
      <w:pPr>
        <w:pStyle w:val="Heading1"/>
      </w:pPr>
      <w:r>
        <w:t>3. Screening components</w:t>
      </w:r>
    </w:p>
    <w:p>
      <w:pPr>
        <w:spacing w:after="100"/>
        <w:ind w:left="115"/>
      </w:pPr>
      <w:r>
        <w:rPr>
          <w:rFonts w:ascii="Calibri" w:hAnsi="Calibri"/>
          <w:color w:val="174F43"/>
          <w:sz w:val="22"/>
        </w:rPr>
        <w:t xml:space="preserve">☐  </w:t>
      </w:r>
      <w:r>
        <w:rPr>
          <w:rFonts w:ascii="Calibri" w:hAnsi="Calibri"/>
          <w:color w:val="19322B"/>
          <w:sz w:val="21"/>
        </w:rPr>
        <w:t>Identity and address-history verification</w:t>
      </w:r>
    </w:p>
    <w:p>
      <w:pPr>
        <w:spacing w:after="100"/>
        <w:ind w:left="115"/>
      </w:pPr>
      <w:r>
        <w:rPr>
          <w:rFonts w:ascii="Calibri" w:hAnsi="Calibri"/>
          <w:color w:val="174F43"/>
          <w:sz w:val="22"/>
        </w:rPr>
        <w:t xml:space="preserve">☐  </w:t>
      </w:r>
      <w:r>
        <w:rPr>
          <w:rFonts w:ascii="Calibri" w:hAnsi="Calibri"/>
          <w:color w:val="19322B"/>
          <w:sz w:val="21"/>
        </w:rPr>
        <w:t>National and relevant county/state criminal history</w:t>
      </w:r>
    </w:p>
    <w:p>
      <w:pPr>
        <w:spacing w:after="100"/>
        <w:ind w:left="115"/>
      </w:pPr>
      <w:r>
        <w:rPr>
          <w:rFonts w:ascii="Calibri" w:hAnsi="Calibri"/>
          <w:color w:val="174F43"/>
          <w:sz w:val="22"/>
        </w:rPr>
        <w:t xml:space="preserve">☐  </w:t>
      </w:r>
      <w:r>
        <w:rPr>
          <w:rFonts w:ascii="Calibri" w:hAnsi="Calibri"/>
          <w:color w:val="19322B"/>
          <w:sz w:val="21"/>
        </w:rPr>
        <w:t>National sex-offender registry search</w:t>
      </w:r>
    </w:p>
    <w:p>
      <w:pPr>
        <w:spacing w:after="100"/>
        <w:ind w:left="115"/>
      </w:pPr>
      <w:r>
        <w:rPr>
          <w:rFonts w:ascii="Calibri" w:hAnsi="Calibri"/>
          <w:color w:val="174F43"/>
          <w:sz w:val="22"/>
        </w:rPr>
        <w:t xml:space="preserve">☐  </w:t>
      </w:r>
      <w:r>
        <w:rPr>
          <w:rFonts w:ascii="Calibri" w:hAnsi="Calibri"/>
          <w:color w:val="19322B"/>
          <w:sz w:val="21"/>
        </w:rPr>
        <w:t>Motor vehicle record when driving is part of the role</w:t>
      </w:r>
    </w:p>
    <w:p>
      <w:pPr>
        <w:spacing w:after="100"/>
        <w:ind w:left="115"/>
      </w:pPr>
      <w:r>
        <w:rPr>
          <w:rFonts w:ascii="Calibri" w:hAnsi="Calibri"/>
          <w:color w:val="174F43"/>
          <w:sz w:val="22"/>
        </w:rPr>
        <w:t xml:space="preserve">☐  </w:t>
      </w:r>
      <w:r>
        <w:rPr>
          <w:rFonts w:ascii="Calibri" w:hAnsi="Calibri"/>
          <w:color w:val="19322B"/>
          <w:sz w:val="21"/>
        </w:rPr>
        <w:t>Professional license or credential verification when relevant</w:t>
      </w:r>
    </w:p>
    <w:p>
      <w:pPr>
        <w:spacing w:after="100"/>
        <w:ind w:left="115"/>
      </w:pPr>
      <w:r>
        <w:rPr>
          <w:rFonts w:ascii="Calibri" w:hAnsi="Calibri"/>
          <w:color w:val="174F43"/>
          <w:sz w:val="22"/>
        </w:rPr>
        <w:t xml:space="preserve">☐  </w:t>
      </w:r>
      <w:r>
        <w:rPr>
          <w:rFonts w:ascii="Calibri" w:hAnsi="Calibri"/>
          <w:color w:val="19322B"/>
          <w:sz w:val="21"/>
        </w:rPr>
        <w:t>International or host-country screening where lawful and reasonably available</w:t>
      </w:r>
    </w:p>
    <w:p>
      <w:pPr>
        <w:spacing w:after="100"/>
        <w:ind w:left="115"/>
      </w:pPr>
      <w:r>
        <w:rPr>
          <w:rFonts w:ascii="Calibri" w:hAnsi="Calibri"/>
          <w:color w:val="174F43"/>
          <w:sz w:val="22"/>
        </w:rPr>
        <w:t xml:space="preserve">☐  </w:t>
      </w:r>
      <w:r>
        <w:rPr>
          <w:rFonts w:ascii="Calibri" w:hAnsi="Calibri"/>
          <w:color w:val="19322B"/>
          <w:sz w:val="21"/>
        </w:rPr>
        <w:t>Two references, including one who has observed the applicant in a service, work, school, or ministry setting</w:t>
      </w:r>
    </w:p>
    <w:p>
      <w:pPr>
        <w:pStyle w:val="Heading1"/>
      </w:pPr>
      <w:r>
        <w:t>4. Consent and fair process</w:t>
      </w:r>
    </w:p>
    <w:p>
      <w:r>
        <w:rPr>
          <w:rFonts w:ascii="Calibri" w:hAnsi="Calibri"/>
          <w:color w:val="19322B"/>
        </w:rPr>
        <w:t>Hope Sojourns will obtain required written consent and provide disclosures separately when a consumer-reporting agency is used. Any preliminary adverse decision will follow applicable notice, copy, dispute, and waiting-period requirements. Screening will be applied consistently and reviewed individually rather than through an automatic blanket exclusion unless law requires otherwise.</w:t>
      </w:r>
    </w:p>
    <w:p>
      <w:pPr>
        <w:pStyle w:val="Heading1"/>
      </w:pPr>
      <w:r>
        <w:t>5. Review factors</w:t>
      </w:r>
    </w:p>
    <w:p>
      <w:pPr>
        <w:pStyle w:val="ListBullet"/>
      </w:pPr>
      <w:r>
        <w:rPr>
          <w:rFonts w:ascii="Calibri" w:hAnsi="Calibri"/>
          <w:color w:val="19322B"/>
        </w:rPr>
        <w:t>Nature and seriousness of the conduct</w:t>
      </w:r>
    </w:p>
    <w:p>
      <w:pPr>
        <w:pStyle w:val="ListBullet"/>
      </w:pPr>
      <w:r>
        <w:rPr>
          <w:rFonts w:ascii="Calibri" w:hAnsi="Calibri"/>
          <w:color w:val="19322B"/>
        </w:rPr>
        <w:t>Time elapsed and evidence of rehabilitation</w:t>
      </w:r>
    </w:p>
    <w:p>
      <w:pPr>
        <w:pStyle w:val="ListBullet"/>
      </w:pPr>
      <w:r>
        <w:rPr>
          <w:rFonts w:ascii="Calibri" w:hAnsi="Calibri"/>
          <w:color w:val="19322B"/>
        </w:rPr>
        <w:t>Accuracy and completeness of the applicant's disclosure</w:t>
      </w:r>
    </w:p>
    <w:p>
      <w:pPr>
        <w:pStyle w:val="ListBullet"/>
      </w:pPr>
      <w:r>
        <w:rPr>
          <w:rFonts w:ascii="Calibri" w:hAnsi="Calibri"/>
          <w:color w:val="19322B"/>
        </w:rPr>
        <w:t>Relationship between the record and the proposed duties, access, population, travel, housing, or driving</w:t>
      </w:r>
    </w:p>
    <w:p>
      <w:pPr>
        <w:pStyle w:val="ListBullet"/>
      </w:pPr>
      <w:r>
        <w:rPr>
          <w:rFonts w:ascii="Calibri" w:hAnsi="Calibri"/>
          <w:color w:val="19322B"/>
        </w:rPr>
        <w:t>Applicable university, insurer, host, legal, and safeguarding requirements</w:t>
      </w:r>
    </w:p>
    <w:p>
      <w:pPr>
        <w:pStyle w:val="ListBullet"/>
      </w:pPr>
      <w:r>
        <w:rPr>
          <w:rFonts w:ascii="Calibri" w:hAnsi="Calibri"/>
          <w:color w:val="19322B"/>
        </w:rPr>
        <w:t>Whether supervision or role modification can reasonably reduce risk</w:t>
      </w:r>
    </w:p>
    <w:p>
      <w:pPr>
        <w:pStyle w:val="Heading1"/>
      </w:pPr>
      <w:r>
        <w:t>6. Timing and renewal</w:t>
      </w:r>
    </w:p>
    <w:p>
      <w:r>
        <w:rPr>
          <w:rFonts w:ascii="Calibri" w:hAnsi="Calibri"/>
          <w:color w:val="19322B"/>
        </w:rPr>
        <w:t>Screening must be complete before access begins. Re-screen active leaders and recurring participants every [TWO/THREE] years, and sooner after a material role change, credible report, legal requirement, or break in service of [NUMBER] months.</w:t>
      </w:r>
    </w:p>
    <w:p>
      <w:pPr>
        <w:pStyle w:val="Heading1"/>
      </w:pPr>
      <w:r>
        <w:t>7. Records and confidentiality</w:t>
      </w:r>
    </w:p>
    <w:p>
      <w:r>
        <w:rPr>
          <w:rFonts w:ascii="Calibri" w:hAnsi="Calibri"/>
          <w:color w:val="19322B"/>
        </w:rPr>
        <w:t>Store authorization, reports, adjudication notes, and results separately from routine program records with access limited to designated decision-makers. Share only the minimum necessary result, such as eligible, eligible with conditions, or not eligible. Destroy records securely according to the adopted retention schedule and applicable law.</w:t>
      </w:r>
    </w:p>
    <w:p>
      <w:r>
        <w:br w:type="page"/>
      </w:r>
    </w:p>
    <w:p>
      <w:pPr>
        <w:pStyle w:val="Heading1"/>
      </w:pPr>
      <w:r>
        <w:t>8. Screening decision record</w:t>
      </w:r>
    </w:p>
    <w:p>
      <w:pPr>
        <w:spacing w:after="100"/>
      </w:pPr>
      <w:r>
        <w:rPr>
          <w:rFonts w:ascii="Calibri" w:hAnsi="Calibri"/>
          <w:b/>
          <w:color w:val="0F352D"/>
          <w:sz w:val="21"/>
        </w:rPr>
        <w:t xml:space="preserve">Applicant: </w:t>
      </w:r>
      <w:r>
        <w:rPr>
          <w:rFonts w:ascii="Calibri" w:hAnsi="Calibri"/>
          <w:i/>
          <w:color w:val="5A6E67"/>
          <w:sz w:val="21"/>
        </w:rPr>
        <w:t>[NAME]</w:t>
      </w:r>
    </w:p>
    <w:p>
      <w:pPr>
        <w:spacing w:after="100"/>
      </w:pPr>
      <w:r>
        <w:rPr>
          <w:rFonts w:ascii="Calibri" w:hAnsi="Calibri"/>
          <w:b/>
          <w:color w:val="0F352D"/>
          <w:sz w:val="21"/>
        </w:rPr>
        <w:t xml:space="preserve">Role/placement: </w:t>
      </w:r>
      <w:r>
        <w:rPr>
          <w:rFonts w:ascii="Calibri" w:hAnsi="Calibri"/>
          <w:i/>
          <w:color w:val="5A6E67"/>
          <w:sz w:val="21"/>
        </w:rPr>
        <w:t>[DETAILS]</w:t>
      </w:r>
    </w:p>
    <w:p>
      <w:pPr>
        <w:spacing w:after="100"/>
      </w:pPr>
      <w:r>
        <w:rPr>
          <w:rFonts w:ascii="Calibri" w:hAnsi="Calibri"/>
          <w:b/>
          <w:color w:val="0F352D"/>
          <w:sz w:val="21"/>
        </w:rPr>
        <w:t xml:space="preserve">Screening date/provider: </w:t>
      </w:r>
      <w:r>
        <w:rPr>
          <w:rFonts w:ascii="Calibri" w:hAnsi="Calibri"/>
          <w:i/>
          <w:color w:val="5A6E67"/>
          <w:sz w:val="21"/>
        </w:rPr>
        <w:t>[DETAILS]</w:t>
      </w:r>
    </w:p>
    <w:p>
      <w:pPr>
        <w:spacing w:after="100"/>
      </w:pPr>
      <w:r>
        <w:rPr>
          <w:rFonts w:ascii="Calibri" w:hAnsi="Calibri"/>
          <w:b/>
          <w:color w:val="0F352D"/>
          <w:sz w:val="21"/>
        </w:rPr>
        <w:t xml:space="preserve">Decision: </w:t>
      </w:r>
      <w:r>
        <w:rPr>
          <w:rFonts w:ascii="Calibri" w:hAnsi="Calibri"/>
          <w:i/>
          <w:color w:val="5A6E67"/>
          <w:sz w:val="21"/>
        </w:rPr>
        <w:t>[ELIGIBLE / ELIGIBLE WITH CONDITIONS / NOT ELIGIBLE]</w:t>
      </w:r>
    </w:p>
    <w:p>
      <w:pPr>
        <w:spacing w:after="100"/>
      </w:pPr>
      <w:r>
        <w:rPr>
          <w:rFonts w:ascii="Calibri" w:hAnsi="Calibri"/>
          <w:b/>
          <w:color w:val="0F352D"/>
          <w:sz w:val="21"/>
        </w:rPr>
        <w:t xml:space="preserve">Conditions or role limits: </w:t>
      </w:r>
      <w:r>
        <w:rPr>
          <w:rFonts w:ascii="Calibri" w:hAnsi="Calibri"/>
          <w:i/>
          <w:color w:val="5A6E67"/>
          <w:sz w:val="21"/>
        </w:rPr>
        <w:t>[DETAILS]</w:t>
      </w:r>
    </w:p>
    <w:p>
      <w:pPr>
        <w:spacing w:after="100"/>
      </w:pPr>
      <w:r>
        <w:rPr>
          <w:rFonts w:ascii="Calibri" w:hAnsi="Calibri"/>
          <w:b/>
          <w:color w:val="0F352D"/>
          <w:sz w:val="21"/>
        </w:rPr>
        <w:t xml:space="preserve">Reviewers: </w:t>
      </w:r>
      <w:r>
        <w:rPr>
          <w:rFonts w:ascii="Calibri" w:hAnsi="Calibri"/>
          <w:i/>
          <w:color w:val="5A6E67"/>
          <w:sz w:val="21"/>
        </w:rPr>
        <w:t>[NAMES AND TITLES]</w:t>
      </w:r>
    </w:p>
    <w:p>
      <w:pPr>
        <w:spacing w:after="100"/>
      </w:pPr>
      <w:r>
        <w:rPr>
          <w:rFonts w:ascii="Calibri" w:hAnsi="Calibri"/>
          <w:b/>
          <w:color w:val="0F352D"/>
          <w:sz w:val="21"/>
        </w:rPr>
        <w:t xml:space="preserve">Next screening due: </w:t>
      </w:r>
      <w:r>
        <w:rPr>
          <w:rFonts w:ascii="Calibri" w:hAnsi="Calibri"/>
          <w:i/>
          <w:color w:val="5A6E67"/>
          <w:sz w:val="21"/>
        </w:rPr>
        <w:t>[DATE]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440" w:bottom="1152" w:left="1440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5A6E67"/>
        <w:sz w:val="17"/>
      </w:rPr>
      <w:t xml:space="preserve">Working draft  |  Page </w:t>
    </w:r>
    <w:r>
      <w:rPr>
        <w:rFonts w:ascii="Calibri" w:hAnsi="Calibri"/>
        <w:color w:val="5A6E67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8" w:space="5" w:color="D7E2DD"/>
      </w:pBdr>
    </w:pPr>
    <w:r>
      <w:rPr>
        <w:rFonts w:ascii="Calibri" w:hAnsi="Calibri"/>
        <w:b/>
        <w:color w:val="5A6E67"/>
        <w:sz w:val="17"/>
      </w:rPr>
      <w:t>HOPE SOJOURNS  |  PROGRAM POLICY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83" w:lineRule="auto"/>
    </w:pPr>
    <w:rPr>
      <w:rFonts w:ascii="Calibri" w:hAnsi="Calibri"/>
      <w:color w:val="1932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Georgia" w:hAnsi="Georgia"/>
      <w:b/>
      <w:bCs/>
      <w:color w:val="0F352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Georgia" w:hAnsi="Georgia"/>
      <w:b/>
      <w:bCs/>
      <w:color w:val="174F4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C9674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Georgia" w:hAnsi="Georgia"/>
      <w:b/>
      <w:color w:val="0F352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605" w:hanging="288"/>
      <w:contextualSpacing/>
    </w:pPr>
    <w:rPr>
      <w:rFonts w:ascii="Calibri" w:hAnsi="Calibri"/>
      <w:color w:val="19322B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605" w:hanging="288"/>
      <w:contextualSpacing/>
    </w:pPr>
    <w:rPr>
      <w:rFonts w:ascii="Calibri" w:hAnsi="Calibri"/>
      <w:color w:val="19322B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Background Check Policy</dc:title>
  <dc:subject>Hope Sojourns college ministry internship program</dc:subject>
  <dc:creator>Hope Sojourns</dc:creator>
  <cp:keywords>Hope Sojourns, internship, ministry, university, student support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