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drawing>
          <wp:inline xmlns:a="http://schemas.openxmlformats.org/drawingml/2006/main" xmlns:pic="http://schemas.openxmlformats.org/drawingml/2006/picture">
            <wp:extent cx="1965960" cy="1095659"/>
            <wp:docPr id="1" name="Picture 1"/>
            <wp:cNvGraphicFramePr>
              <a:graphicFrameLocks noChangeAspect="1"/>
            </wp:cNvGraphicFramePr>
            <a:graphic>
              <a:graphicData uri="http://schemas.openxmlformats.org/drawingml/2006/picture">
                <pic:pic>
                  <pic:nvPicPr>
                    <pic:cNvPr id="0" name="hope-sojourns-logo.png"/>
                    <pic:cNvPicPr/>
                  </pic:nvPicPr>
                  <pic:blipFill>
                    <a:blip r:embed="rId11"/>
                    <a:stretch>
                      <a:fillRect/>
                    </a:stretch>
                  </pic:blipFill>
                  <pic:spPr>
                    <a:xfrm>
                      <a:off x="0" y="0"/>
                      <a:ext cx="1965960" cy="1095659"/>
                    </a:xfrm>
                    <a:prstGeom prst="rect"/>
                  </pic:spPr>
                </pic:pic>
              </a:graphicData>
            </a:graphic>
          </wp:inline>
        </w:drawing>
      </w:r>
    </w:p>
    <w:p>
      <w:pPr>
        <w:spacing w:before="80" w:after="80"/>
      </w:pPr>
      <w:r>
        <w:rPr>
          <w:rFonts w:ascii="Calibri" w:hAnsi="Calibri"/>
          <w:b/>
          <w:color w:val="D99B42"/>
          <w:sz w:val="18"/>
        </w:rPr>
        <w:t>PROGRAM POLICY</w:t>
      </w:r>
    </w:p>
    <w:p>
      <w:pPr>
        <w:pStyle w:val="Title"/>
      </w:pPr>
      <w:r>
        <w:t>Cancellation and Refund Policy</w:t>
      </w:r>
    </w:p>
    <w:p>
      <w:pPr>
        <w:spacing w:after="280"/>
      </w:pPr>
      <w:r>
        <w:rPr>
          <w:rFonts w:ascii="Calibri" w:hAnsi="Calibri"/>
          <w:i/>
          <w:color w:val="5A6E67"/>
          <w:sz w:val="24"/>
        </w:rPr>
        <w:t>Draft participant-facing terms for internship placements</w:t>
      </w:r>
    </w:p>
    <w:p>
      <w:pPr>
        <w:spacing w:after="320"/>
        <w:pBdr>
          <w:bottom w:val="single" w:sz="16" w:space="6" w:color="D99B42"/>
        </w:pBdr>
      </w:pPr>
      <w:r>
        <w:rPr>
          <w:rFonts w:ascii="Calibri" w:hAnsi="Calibri"/>
          <w:b/>
          <w:color w:val="174F43"/>
          <w:sz w:val="18"/>
        </w:rPr>
        <w:t>Draft values for review  |  August 2026</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FFF0EC"/>
          </w:tcPr>
          <w:p>
            <w:pPr>
              <w:spacing w:after="60"/>
            </w:pPr>
            <w:r>
              <w:rPr>
                <w:rFonts w:ascii="Calibri" w:hAnsi="Calibri"/>
                <w:b/>
                <w:color w:val="9B2F2F"/>
                <w:sz w:val="17"/>
              </w:rPr>
              <w:t>REVIEW BEFORE USE</w:t>
            </w:r>
          </w:p>
          <w:p>
            <w:pPr>
              <w:spacing w:after="0"/>
            </w:pPr>
            <w:r>
              <w:rPr>
                <w:rFonts w:ascii="Calibri" w:hAnsi="Calibri"/>
                <w:b w:val="0"/>
                <w:color w:val="19322B"/>
                <w:sz w:val="21"/>
              </w:rPr>
              <w:t>This is an operational draft, not legal advice. Hope Sojourns should have Texas counsel, its insurance broker, and each participating university review the document before adoption. Country-specific counsel may be needed for international placements.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FFF3DD"/>
          </w:tcPr>
          <w:p>
            <w:pPr>
              <w:spacing w:after="60"/>
            </w:pPr>
            <w:r>
              <w:rPr>
                <w:rFonts w:ascii="Calibri" w:hAnsi="Calibri"/>
                <w:b/>
                <w:color w:val="D99B42"/>
                <w:sz w:val="17"/>
              </w:rPr>
              <w:t>DECISION REQUIRED</w:t>
            </w:r>
          </w:p>
          <w:p>
            <w:pPr>
              <w:spacing w:after="0"/>
            </w:pPr>
            <w:r>
              <w:rPr>
                <w:rFonts w:ascii="Calibri" w:hAnsi="Calibri"/>
                <w:b w:val="0"/>
                <w:color w:val="19322B"/>
                <w:sz w:val="21"/>
              </w:rPr>
              <w:t>The percentages and deadlines below are a reasonable pilot proposal, not an adopted promise. Confirm them against actual staffing, vendor, travel, insurance, and accounting practices before publication.</w:t>
            </w:r>
          </w:p>
        </w:tc>
      </w:tr>
    </w:tbl>
    <w:p>
      <w:pPr>
        <w:spacing w:after="0"/>
      </w:pPr>
    </w:p>
    <w:p>
      <w:pPr>
        <w:pStyle w:val="Heading1"/>
      </w:pPr>
      <w:r>
        <w:t>1. Application and matching deposit</w:t>
      </w:r>
    </w:p>
    <w:p>
      <w:r>
        <w:rPr>
          <w:rFonts w:ascii="Calibri" w:hAnsi="Calibri"/>
          <w:color w:val="19322B"/>
        </w:rPr>
        <w:t>A $250 application and matching deposit is due when Hope Sojourns begins individualized placement work. The deposit is credited to the Program Support Fee. It is refundable if Hope Sojourns cannot offer an approved placement, but otherwise becomes nonrefundable after the first host introduction or [NUMBER] hours of individualized work, whichever occurs first.</w:t>
      </w:r>
    </w:p>
    <w:p>
      <w:pPr>
        <w:pStyle w:val="Heading1"/>
      </w:pPr>
      <w:r>
        <w:t>2. Program Support Fee refunds</w:t>
      </w:r>
    </w:p>
    <w:tbl>
      <w:tblPr>
        <w:tblStyle w:val="TableGrid"/>
        <w:tblW w:type="dxa" w:w="9360"/>
        <w:jc w:val="left"/>
        <w:tblLayout w:type="fixed"/>
        <w:tblLook w:firstColumn="1" w:firstRow="1" w:lastColumn="0" w:lastRow="0" w:noHBand="0" w:noVBand="1" w:val="04A0"/>
        <w:tblInd w:w="120" w:type="dxa"/>
      </w:tblPr>
      <w:tblGrid>
        <w:gridCol w:w="4800"/>
        <w:gridCol w:w="4560"/>
      </w:tblGrid>
      <w:tr>
        <w:trPr>
          <w:cantSplit/>
          <w:tblHeader w:val="true"/>
        </w:trPr>
        <w:tc>
          <w:tcPr>
            <w:tcW w:type="dxa" w:w="4800"/>
            <w:tcMar>
              <w:top w:w="100" w:type="dxa"/>
              <w:start w:w="130" w:type="dxa"/>
              <w:bottom w:w="100" w:type="dxa"/>
              <w:end w:w="130" w:type="dxa"/>
            </w:tcMar>
            <w:vAlign w:val="center"/>
            <w:shd w:fill="174F43"/>
          </w:tcPr>
          <w:p>
            <w:pPr>
              <w:spacing w:after="0"/>
            </w:pPr>
            <w:r>
              <w:rPr>
                <w:rFonts w:ascii="Calibri" w:hAnsi="Calibri"/>
                <w:b/>
                <w:color w:val="FFFFFF"/>
                <w:sz w:val="18"/>
              </w:rPr>
              <w:t>Student cancellation received</w:t>
            </w:r>
          </w:p>
        </w:tc>
        <w:tc>
          <w:tcPr>
            <w:tcW w:type="dxa" w:w="4560"/>
            <w:tcMar>
              <w:top w:w="100" w:type="dxa"/>
              <w:start w:w="130" w:type="dxa"/>
              <w:bottom w:w="100" w:type="dxa"/>
              <w:end w:w="130" w:type="dxa"/>
            </w:tcMar>
            <w:vAlign w:val="center"/>
            <w:shd w:fill="174F43"/>
          </w:tcPr>
          <w:p>
            <w:pPr>
              <w:spacing w:after="0"/>
            </w:pPr>
            <w:r>
              <w:rPr>
                <w:rFonts w:ascii="Calibri" w:hAnsi="Calibri"/>
                <w:b/>
                <w:color w:val="FFFFFF"/>
                <w:sz w:val="18"/>
              </w:rPr>
              <w:t>Proposed refund of Program Support Fee paid</w:t>
            </w:r>
          </w:p>
        </w:tc>
      </w:tr>
      <w:tr>
        <w:trPr>
          <w:cantSplit/>
        </w:trPr>
        <w:tc>
          <w:tcPr>
            <w:tcW w:type="dxa" w:w="4800"/>
            <w:shd w:fill="F7FAF8"/>
          </w:tcPr>
          <w:p>
            <w:pPr>
              <w:spacing w:after="0"/>
            </w:pPr>
            <w:r>
              <w:rPr>
                <w:rFonts w:ascii="Calibri" w:hAnsi="Calibri"/>
                <w:color w:val="19322B"/>
                <w:sz w:val="18"/>
              </w:rPr>
              <w:t>Before an approved placement is confirmed</w:t>
            </w:r>
          </w:p>
        </w:tc>
        <w:tc>
          <w:tcPr>
            <w:tcW w:type="dxa" w:w="4560"/>
            <w:shd w:fill="F7FAF8"/>
          </w:tcPr>
          <w:p>
            <w:pPr>
              <w:spacing w:after="0"/>
            </w:pPr>
            <w:r>
              <w:rPr>
                <w:rFonts w:ascii="Calibri" w:hAnsi="Calibri"/>
                <w:color w:val="19322B"/>
                <w:sz w:val="18"/>
              </w:rPr>
              <w:t>100%, less any earned/nonrefundable deposit disclosed above</w:t>
            </w:r>
          </w:p>
        </w:tc>
      </w:tr>
      <w:tr>
        <w:trPr>
          <w:cantSplit/>
        </w:trPr>
        <w:tc>
          <w:tcPr>
            <w:tcW w:type="dxa" w:w="4800"/>
          </w:tcPr>
          <w:p>
            <w:pPr>
              <w:spacing w:after="0"/>
            </w:pPr>
            <w:r>
              <w:rPr>
                <w:rFonts w:ascii="Calibri" w:hAnsi="Calibri"/>
                <w:color w:val="19322B"/>
                <w:sz w:val="18"/>
              </w:rPr>
              <w:t>60 or more days before departure/start</w:t>
            </w:r>
          </w:p>
        </w:tc>
        <w:tc>
          <w:tcPr>
            <w:tcW w:type="dxa" w:w="4560"/>
          </w:tcPr>
          <w:p>
            <w:pPr>
              <w:spacing w:after="0"/>
            </w:pPr>
            <w:r>
              <w:rPr>
                <w:rFonts w:ascii="Calibri" w:hAnsi="Calibri"/>
                <w:color w:val="19322B"/>
                <w:sz w:val="18"/>
              </w:rPr>
              <w:t>75%</w:t>
            </w:r>
          </w:p>
        </w:tc>
      </w:tr>
      <w:tr>
        <w:trPr>
          <w:cantSplit/>
        </w:trPr>
        <w:tc>
          <w:tcPr>
            <w:tcW w:type="dxa" w:w="4800"/>
            <w:shd w:fill="F7FAF8"/>
          </w:tcPr>
          <w:p>
            <w:pPr>
              <w:spacing w:after="0"/>
            </w:pPr>
            <w:r>
              <w:rPr>
                <w:rFonts w:ascii="Calibri" w:hAnsi="Calibri"/>
                <w:color w:val="19322B"/>
                <w:sz w:val="18"/>
              </w:rPr>
              <w:t>30-59 days before departure/start</w:t>
            </w:r>
          </w:p>
        </w:tc>
        <w:tc>
          <w:tcPr>
            <w:tcW w:type="dxa" w:w="4560"/>
            <w:shd w:fill="F7FAF8"/>
          </w:tcPr>
          <w:p>
            <w:pPr>
              <w:spacing w:after="0"/>
            </w:pPr>
            <w:r>
              <w:rPr>
                <w:rFonts w:ascii="Calibri" w:hAnsi="Calibri"/>
                <w:color w:val="19322B"/>
                <w:sz w:val="18"/>
              </w:rPr>
              <w:t>50%</w:t>
            </w:r>
          </w:p>
        </w:tc>
      </w:tr>
      <w:tr>
        <w:trPr>
          <w:cantSplit/>
        </w:trPr>
        <w:tc>
          <w:tcPr>
            <w:tcW w:type="dxa" w:w="4800"/>
          </w:tcPr>
          <w:p>
            <w:pPr>
              <w:spacing w:after="0"/>
            </w:pPr>
            <w:r>
              <w:rPr>
                <w:rFonts w:ascii="Calibri" w:hAnsi="Calibri"/>
                <w:color w:val="19322B"/>
                <w:sz w:val="18"/>
              </w:rPr>
              <w:t>15-29 days before departure/start</w:t>
            </w:r>
          </w:p>
        </w:tc>
        <w:tc>
          <w:tcPr>
            <w:tcW w:type="dxa" w:w="4560"/>
          </w:tcPr>
          <w:p>
            <w:pPr>
              <w:spacing w:after="0"/>
            </w:pPr>
            <w:r>
              <w:rPr>
                <w:rFonts w:ascii="Calibri" w:hAnsi="Calibri"/>
                <w:color w:val="19322B"/>
                <w:sz w:val="18"/>
              </w:rPr>
              <w:t>25%</w:t>
            </w:r>
          </w:p>
        </w:tc>
      </w:tr>
      <w:tr>
        <w:trPr>
          <w:cantSplit/>
        </w:trPr>
        <w:tc>
          <w:tcPr>
            <w:tcW w:type="dxa" w:w="4800"/>
            <w:shd w:fill="F7FAF8"/>
          </w:tcPr>
          <w:p>
            <w:pPr>
              <w:spacing w:after="0"/>
            </w:pPr>
            <w:r>
              <w:rPr>
                <w:rFonts w:ascii="Calibri" w:hAnsi="Calibri"/>
                <w:color w:val="19322B"/>
                <w:sz w:val="18"/>
              </w:rPr>
              <w:t>14 days or fewer before departure/start</w:t>
            </w:r>
          </w:p>
        </w:tc>
        <w:tc>
          <w:tcPr>
            <w:tcW w:type="dxa" w:w="4560"/>
            <w:shd w:fill="F7FAF8"/>
          </w:tcPr>
          <w:p>
            <w:pPr>
              <w:spacing w:after="0"/>
            </w:pPr>
            <w:r>
              <w:rPr>
                <w:rFonts w:ascii="Calibri" w:hAnsi="Calibri"/>
                <w:color w:val="19322B"/>
                <w:sz w:val="18"/>
              </w:rPr>
              <w:t>No refund</w:t>
            </w:r>
          </w:p>
        </w:tc>
      </w:tr>
      <w:tr>
        <w:trPr>
          <w:cantSplit/>
        </w:trPr>
        <w:tc>
          <w:tcPr>
            <w:tcW w:type="dxa" w:w="4800"/>
          </w:tcPr>
          <w:p>
            <w:pPr>
              <w:spacing w:after="0"/>
            </w:pPr>
            <w:r>
              <w:rPr>
                <w:rFonts w:ascii="Calibri" w:hAnsi="Calibri"/>
                <w:color w:val="19322B"/>
                <w:sz w:val="18"/>
              </w:rPr>
              <w:t>After travel or placement begins</w:t>
            </w:r>
          </w:p>
        </w:tc>
        <w:tc>
          <w:tcPr>
            <w:tcW w:type="dxa" w:w="4560"/>
          </w:tcPr>
          <w:p>
            <w:pPr>
              <w:spacing w:after="0"/>
            </w:pPr>
            <w:r>
              <w:rPr>
                <w:rFonts w:ascii="Calibri" w:hAnsi="Calibri"/>
                <w:color w:val="19322B"/>
                <w:sz w:val="18"/>
              </w:rPr>
              <w:t>No refund, except a documented discretionary amount when Hope Sojourns or the host materially fails to provide the agreed program</w:t>
            </w:r>
          </w:p>
        </w:tc>
      </w:tr>
    </w:tbl>
    <w:p>
      <w:pPr>
        <w:spacing w:after="0"/>
      </w:pPr>
    </w:p>
    <w:p>
      <w:pPr>
        <w:pStyle w:val="Heading1"/>
      </w:pPr>
      <w:r>
        <w:t>3. Third-party and travel costs</w:t>
      </w:r>
    </w:p>
    <w:p>
      <w:r>
        <w:rPr>
          <w:rFonts w:ascii="Calibri" w:hAnsi="Calibri"/>
          <w:color w:val="19322B"/>
        </w:rPr>
        <w:t>Airfare, lodging, insurance, visas, background checks, local transportation, deposits, currency losses, and other third-party costs follow the vendor's terms. Nonrefundable or already-spent Hope Sojourns leader travel costs remain the student's responsibility up to the written authorized maximum unless Hope Sojourns caused the cancellation through material breach.</w:t>
      </w:r>
    </w:p>
    <w:p>
      <w:pPr>
        <w:pStyle w:val="Heading1"/>
      </w:pPr>
      <w:r>
        <w:t>4. Host, university, visa, or safety cancellation</w:t>
      </w:r>
    </w:p>
    <w:p>
      <w:pPr>
        <w:pStyle w:val="ListBullet"/>
      </w:pPr>
      <w:r>
        <w:rPr>
          <w:rFonts w:ascii="Calibri" w:hAnsi="Calibri"/>
          <w:color w:val="19322B"/>
        </w:rPr>
        <w:t>If Hope Sojourns cannot provide the confirmed placement before departure, it will offer a reasonable alternative or refund the unused Program Support Fee.</w:t>
      </w:r>
    </w:p>
    <w:p>
      <w:pPr>
        <w:pStyle w:val="ListBullet"/>
      </w:pPr>
      <w:r>
        <w:rPr>
          <w:rFonts w:ascii="Calibri" w:hAnsi="Calibri"/>
          <w:color w:val="19322B"/>
        </w:rPr>
        <w:t>University denial of credit does not automatically cancel the nonacademic placement unless academic credit was expressly made a condition in writing.</w:t>
      </w:r>
    </w:p>
    <w:p>
      <w:pPr>
        <w:pStyle w:val="ListBullet"/>
      </w:pPr>
      <w:r>
        <w:rPr>
          <w:rFonts w:ascii="Calibri" w:hAnsi="Calibri"/>
          <w:color w:val="19322B"/>
        </w:rPr>
        <w:t>Visa denial, passport delay, illness, family emergency, or travel disruption is treated as a student cancellation unless a written exception applies; participants should consider trip-cancellation coverage.</w:t>
      </w:r>
    </w:p>
    <w:p>
      <w:pPr>
        <w:pStyle w:val="ListBullet"/>
      </w:pPr>
      <w:r>
        <w:rPr>
          <w:rFonts w:ascii="Calibri" w:hAnsi="Calibri"/>
          <w:color w:val="19322B"/>
        </w:rPr>
        <w:t>Hope Sojourns may change, pause, relocate, or cancel a placement for safety, legal, insurance, disaster, host, or government reasons. The unused Program Support Fee will be evaluated in good faith after nonrecoverable obligations are identified.</w:t>
      </w:r>
    </w:p>
    <w:p>
      <w:pPr>
        <w:pStyle w:val="Heading1"/>
      </w:pPr>
      <w:r>
        <w:t>5. Dismissal</w:t>
      </w:r>
    </w:p>
    <w:p>
      <w:r>
        <w:rPr>
          <w:rFonts w:ascii="Calibri" w:hAnsi="Calibri"/>
          <w:color w:val="19322B"/>
        </w:rPr>
        <w:t>A participant dismissed for serious misconduct, material application misrepresentation, unlawful activity, refusal to follow safety instructions, or repeated policy violations is not entitled to a Program Support Fee refund and remains responsible for safe return travel and other resulting costs, subject to applicable law and the final agreement.</w:t>
      </w:r>
    </w:p>
    <w:p>
      <w:pPr>
        <w:pStyle w:val="Heading1"/>
      </w:pPr>
      <w:r>
        <w:t>6. Request process</w:t>
      </w:r>
    </w:p>
    <w:p>
      <w:r>
        <w:rPr>
          <w:rFonts w:ascii="Calibri" w:hAnsi="Calibri"/>
          <w:color w:val="19322B"/>
        </w:rPr>
        <w:t>Cancellation and refund requests must be submitted in writing to [EMAIL] and include the participant's name, placement, reason, requested effective date, and supporting documentation when relevant. Hope Sojourns will issue a written determination within [10] business days and approved refunds within [30] days.</w:t>
      </w:r>
    </w:p>
    <w:p>
      <w:pPr>
        <w:pStyle w:val="Heading1"/>
      </w:pPr>
      <w:r>
        <w:t>Participant acknowledgment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shd w:fill="FBFCFB"/>
          </w:tcPr>
          <w:p>
            <w:pPr>
              <w:spacing w:after="80"/>
            </w:pPr>
            <w:r>
              <w:rPr>
                <w:rFonts w:ascii="Calibri" w:hAnsi="Calibri"/>
                <w:color w:val="19322B"/>
                <w:sz w:val="19"/>
              </w:rPr>
              <w:t>Student participant</w:t>
              <w:br/>
              <w:t>Signature: ______________________________</w:t>
              <w:br/>
              <w:t>Printed name: ___________________________</w:t>
            </w:r>
          </w:p>
        </w:tc>
        <w:tc>
          <w:tcPr>
            <w:tcW w:type="dxa" w:w="4680"/>
            <w:shd w:fill="FBFCFB"/>
          </w:tcPr>
          <w:p>
            <w:pPr>
              <w:spacing w:after="80"/>
            </w:pPr>
            <w:r>
              <w:rPr>
                <w:rFonts w:ascii="Calibri" w:hAnsi="Calibri"/>
                <w:color w:val="19322B"/>
                <w:sz w:val="19"/>
              </w:rPr>
              <w:t>Date: __________________</w:t>
              <w:br/>
              <w:t>Title/organization: _____________________</w:t>
              <w:br/>
              <w:t>Email: _________________________________</w:t>
            </w:r>
          </w:p>
        </w:tc>
      </w:tr>
      <w:tr>
        <w:trPr>
          <w:cantSplit/>
        </w:trPr>
        <w:tc>
          <w:tcPr>
            <w:tcW w:type="dxa" w:w="4680"/>
            <w:shd w:fill="FBFCFB"/>
          </w:tcPr>
          <w:p>
            <w:pPr>
              <w:spacing w:after="80"/>
            </w:pPr>
            <w:r>
              <w:rPr>
                <w:rFonts w:ascii="Calibri" w:hAnsi="Calibri"/>
                <w:color w:val="19322B"/>
                <w:sz w:val="19"/>
              </w:rPr>
              <w:t>Hope Sojourns representative</w:t>
              <w:br/>
              <w:t>Signature: ______________________________</w:t>
              <w:br/>
              <w:t>Printed name: ___________________________</w:t>
            </w:r>
          </w:p>
        </w:tc>
        <w:tc>
          <w:tcPr>
            <w:tcW w:type="dxa" w:w="4680"/>
            <w:shd w:fill="FBFCFB"/>
          </w:tcPr>
          <w:p>
            <w:pPr>
              <w:spacing w:after="80"/>
            </w:pPr>
            <w:r>
              <w:rPr>
                <w:rFonts w:ascii="Calibri" w:hAnsi="Calibri"/>
                <w:color w:val="19322B"/>
                <w:sz w:val="19"/>
              </w:rPr>
              <w:t>Date: __________________</w:t>
              <w:br/>
              <w:t>Title/organization: _____________________</w:t>
              <w:br/>
              <w:t>Email: _________________________________</w:t>
            </w:r>
          </w:p>
        </w:tc>
      </w:tr>
    </w:tbl>
    <w:p>
      <w:pPr>
        <w:spacing w:after="0"/>
      </w:pPr>
    </w:p>
    <w:sectPr w:rsidR="00FC693F" w:rsidRPr="0006063C" w:rsidSect="00034616">
      <w:headerReference w:type="default" r:id="rId9"/>
      <w:footerReference w:type="default" r:id="rId10"/>
      <w:pgSz w:w="12240" w:h="15840"/>
      <w:pgMar w:top="1224" w:right="1440" w:bottom="1152"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E67"/>
        <w:sz w:val="17"/>
      </w:rPr>
      <w:t xml:space="preserve">Working draft  |  Page </w:t>
    </w:r>
    <w:r>
      <w:rPr>
        <w:rFonts w:ascii="Calibri" w:hAnsi="Calibri"/>
        <w:color w:val="5A6E67"/>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5" w:color="D7E2DD"/>
      </w:pBdr>
    </w:pPr>
    <w:r>
      <w:rPr>
        <w:rFonts w:ascii="Calibri" w:hAnsi="Calibri"/>
        <w:b/>
        <w:color w:val="5A6E67"/>
        <w:sz w:val="17"/>
      </w:rPr>
      <w:t>HOPE SOJOURNS  |  PROGRAM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932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Georgia" w:hAnsi="Georgia"/>
      <w:b/>
      <w:bCs/>
      <w:color w:val="0F352D"/>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74F4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C967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0F35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605" w:hanging="288"/>
      <w:contextualSpacing/>
    </w:pPr>
    <w:rPr>
      <w:rFonts w:ascii="Calibri" w:hAnsi="Calibri"/>
      <w:color w:val="1932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605" w:hanging="288"/>
      <w:contextualSpacing/>
    </w:pPr>
    <w:rPr>
      <w:rFonts w:ascii="Calibri" w:hAnsi="Calibri"/>
      <w:color w:val="1932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Cancellation and Refund Policy</dc:title>
  <dc:subject>Hope Sojourns college ministry internship program</dc:subject>
  <dc:creator>Hope Sojourns</dc:creator>
  <cp:keywords>Hope Sojourns, internship, ministry, university, student support</cp:keywords>
  <dc:description>generated by python-docx</dc:description>
  <cp:lastModifiedBy/>
  <cp:revision>1</cp:revision>
  <dcterms:created xsi:type="dcterms:W3CDTF">2013-12-23T23:15:00Z</dcterms:created>
  <dcterms:modified xsi:type="dcterms:W3CDTF">2013-12-23T23:15:00Z</dcterms:modified>
  <cp:category/>
</cp:coreProperties>
</file>