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drawing>
          <wp:inline xmlns:a="http://schemas.openxmlformats.org/drawingml/2006/main" xmlns:pic="http://schemas.openxmlformats.org/drawingml/2006/picture">
            <wp:extent cx="1965960" cy="1095659"/>
            <wp:docPr id="1" name="Picture 1"/>
            <wp:cNvGraphicFramePr>
              <a:graphicFrameLocks noChangeAspect="1"/>
            </wp:cNvGraphicFramePr>
            <a:graphic>
              <a:graphicData uri="http://schemas.openxmlformats.org/drawingml/2006/picture">
                <pic:pic>
                  <pic:nvPicPr>
                    <pic:cNvPr id="0" name="hope-sojourns-logo.png"/>
                    <pic:cNvPicPr/>
                  </pic:nvPicPr>
                  <pic:blipFill>
                    <a:blip r:embed="rId11"/>
                    <a:stretch>
                      <a:fillRect/>
                    </a:stretch>
                  </pic:blipFill>
                  <pic:spPr>
                    <a:xfrm>
                      <a:off x="0" y="0"/>
                      <a:ext cx="1965960" cy="1095659"/>
                    </a:xfrm>
                    <a:prstGeom prst="rect"/>
                  </pic:spPr>
                </pic:pic>
              </a:graphicData>
            </a:graphic>
          </wp:inline>
        </w:drawing>
      </w:r>
    </w:p>
    <w:p>
      <w:pPr>
        <w:spacing w:before="80" w:after="80"/>
      </w:pPr>
      <w:r>
        <w:rPr>
          <w:rFonts w:ascii="Calibri" w:hAnsi="Calibri"/>
          <w:b/>
          <w:color w:val="D99B42"/>
          <w:sz w:val="18"/>
        </w:rPr>
        <w:t>PROGRAM POLICY</w:t>
      </w:r>
    </w:p>
    <w:p>
      <w:pPr>
        <w:pStyle w:val="Title"/>
      </w:pPr>
      <w:r>
        <w:t>Data Privacy and Record Retention Policy</w:t>
      </w:r>
    </w:p>
    <w:p>
      <w:pPr>
        <w:spacing w:after="280"/>
      </w:pPr>
      <w:r>
        <w:rPr>
          <w:rFonts w:ascii="Calibri" w:hAnsi="Calibri"/>
          <w:i/>
          <w:color w:val="5A6E67"/>
          <w:sz w:val="24"/>
        </w:rPr>
        <w:t>Collection, access, sharing, security, and disposal standards</w:t>
      </w:r>
    </w:p>
    <w:p>
      <w:pPr>
        <w:spacing w:after="320"/>
        <w:pBdr>
          <w:bottom w:val="single" w:sz="16" w:space="6" w:color="D99B42"/>
        </w:pBdr>
      </w:pPr>
      <w:r>
        <w:rPr>
          <w:rFonts w:ascii="Calibri" w:hAnsi="Calibri"/>
          <w:b/>
          <w:color w:val="174F43"/>
          <w:sz w:val="18"/>
        </w:rPr>
        <w:t>Draft for adoption  |  August 2026</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30" w:type="dxa"/>
              <w:bottom w:w="100" w:type="dxa"/>
              <w:end w:w="130" w:type="dxa"/>
            </w:tcMar>
            <w:vAlign w:val="center"/>
            <w:shd w:fill="FFF0EC"/>
          </w:tcPr>
          <w:p>
            <w:pPr>
              <w:spacing w:after="60"/>
            </w:pPr>
            <w:r>
              <w:rPr>
                <w:rFonts w:ascii="Calibri" w:hAnsi="Calibri"/>
                <w:b/>
                <w:color w:val="9B2F2F"/>
                <w:sz w:val="17"/>
              </w:rPr>
              <w:t>REVIEW BEFORE USE</w:t>
            </w:r>
          </w:p>
          <w:p>
            <w:pPr>
              <w:spacing w:after="0"/>
            </w:pPr>
            <w:r>
              <w:rPr>
                <w:rFonts w:ascii="Calibri" w:hAnsi="Calibri"/>
                <w:b w:val="0"/>
                <w:color w:val="19322B"/>
                <w:sz w:val="21"/>
              </w:rPr>
              <w:t>This is an operational draft, not legal advice. Hope Sojourns should have Texas counsel, its insurance broker, and each participating university review the document before adoption. Country-specific counsel may be needed for international placements.</w:t>
            </w:r>
          </w:p>
        </w:tc>
      </w:tr>
    </w:tbl>
    <w:p>
      <w:pPr>
        <w:spacing w:after="0"/>
      </w:pPr>
    </w:p>
    <w:p>
      <w:pPr>
        <w:pStyle w:val="Heading1"/>
      </w:pPr>
      <w:r>
        <w:t>1. Purpose and scope</w:t>
      </w:r>
    </w:p>
    <w:p>
      <w:r>
        <w:rPr>
          <w:rFonts w:ascii="Calibri" w:hAnsi="Calibri"/>
          <w:color w:val="19322B"/>
        </w:rPr>
        <w:t>This policy governs internship applicant, participant, emergency-contact, university, host ministry, screening, payment, incident, and evaluation information maintained by Hope Sojourns in paper, email, cloud, portal, device, and third-party systems.</w:t>
      </w:r>
    </w:p>
    <w:p>
      <w:pPr>
        <w:pStyle w:val="Heading1"/>
      </w:pPr>
      <w:r>
        <w:t>2. Information collected</w:t>
      </w:r>
    </w:p>
    <w:p>
      <w:pPr>
        <w:pStyle w:val="ListBullet"/>
      </w:pPr>
      <w:r>
        <w:rPr>
          <w:rFonts w:ascii="Calibri" w:hAnsi="Calibri"/>
          <w:color w:val="19322B"/>
        </w:rPr>
        <w:t>Identity, contact, education, skills, availability, interests, references, and application responses</w:t>
      </w:r>
    </w:p>
    <w:p>
      <w:pPr>
        <w:pStyle w:val="ListBullet"/>
      </w:pPr>
      <w:r>
        <w:rPr>
          <w:rFonts w:ascii="Calibri" w:hAnsi="Calibri"/>
          <w:color w:val="19322B"/>
        </w:rPr>
        <w:t>Placement, learning objectives, evaluations, communications, attendance, and check-in notes</w:t>
      </w:r>
    </w:p>
    <w:p>
      <w:pPr>
        <w:pStyle w:val="ListBullet"/>
      </w:pPr>
      <w:r>
        <w:rPr>
          <w:rFonts w:ascii="Calibri" w:hAnsi="Calibri"/>
          <w:color w:val="19322B"/>
        </w:rPr>
        <w:t>Payment status and transaction references, but not unnecessary payment-card data</w:t>
      </w:r>
    </w:p>
    <w:p>
      <w:pPr>
        <w:pStyle w:val="ListBullet"/>
      </w:pPr>
      <w:r>
        <w:rPr>
          <w:rFonts w:ascii="Calibri" w:hAnsi="Calibri"/>
          <w:color w:val="19322B"/>
        </w:rPr>
        <w:t>Travel documents, itinerary, insurance, emergency contacts, and limited health/accessibility information needed for safety planning</w:t>
      </w:r>
    </w:p>
    <w:p>
      <w:pPr>
        <w:pStyle w:val="ListBullet"/>
      </w:pPr>
      <w:r>
        <w:rPr>
          <w:rFonts w:ascii="Calibri" w:hAnsi="Calibri"/>
          <w:color w:val="19322B"/>
        </w:rPr>
        <w:t>Background-check authorization, status, and restricted adjudication records</w:t>
      </w:r>
    </w:p>
    <w:p>
      <w:pPr>
        <w:pStyle w:val="ListBullet"/>
      </w:pPr>
      <w:r>
        <w:rPr>
          <w:rFonts w:ascii="Calibri" w:hAnsi="Calibri"/>
          <w:color w:val="19322B"/>
        </w:rPr>
        <w:t>Incident, safeguarding, conduct, legal, or insurance records</w:t>
      </w:r>
    </w:p>
    <w:p>
      <w:pPr>
        <w:pStyle w:val="ListBullet"/>
      </w:pPr>
      <w:r>
        <w:rPr>
          <w:rFonts w:ascii="Calibri" w:hAnsi="Calibri"/>
          <w:color w:val="19322B"/>
        </w:rPr>
        <w:t>Website and portal security logs needed to protect systems and investigate misuse</w:t>
      </w:r>
    </w:p>
    <w:p>
      <w:pPr>
        <w:pStyle w:val="Heading1"/>
      </w:pPr>
      <w:r>
        <w:t>3. Permitted uses</w:t>
      </w:r>
    </w:p>
    <w:p>
      <w:pPr>
        <w:pStyle w:val="ListBullet"/>
      </w:pPr>
      <w:r>
        <w:rPr>
          <w:rFonts w:ascii="Calibri" w:hAnsi="Calibri"/>
          <w:color w:val="19322B"/>
        </w:rPr>
        <w:t>Assess and arrange placements</w:t>
      </w:r>
    </w:p>
    <w:p>
      <w:pPr>
        <w:pStyle w:val="ListBullet"/>
      </w:pPr>
      <w:r>
        <w:rPr>
          <w:rFonts w:ascii="Calibri" w:hAnsi="Calibri"/>
          <w:color w:val="19322B"/>
        </w:rPr>
        <w:t>Coordinate academic and host requirements</w:t>
      </w:r>
    </w:p>
    <w:p>
      <w:pPr>
        <w:pStyle w:val="ListBullet"/>
      </w:pPr>
      <w:r>
        <w:rPr>
          <w:rFonts w:ascii="Calibri" w:hAnsi="Calibri"/>
          <w:color w:val="19322B"/>
        </w:rPr>
        <w:t>Prepare, mentor, supervise, evaluate, and support participants</w:t>
      </w:r>
    </w:p>
    <w:p>
      <w:pPr>
        <w:pStyle w:val="ListBullet"/>
      </w:pPr>
      <w:r>
        <w:rPr>
          <w:rFonts w:ascii="Calibri" w:hAnsi="Calibri"/>
          <w:color w:val="19322B"/>
        </w:rPr>
        <w:t>Process fees and document scholarships or subsidies</w:t>
      </w:r>
    </w:p>
    <w:p>
      <w:pPr>
        <w:pStyle w:val="ListBullet"/>
      </w:pPr>
      <w:r>
        <w:rPr>
          <w:rFonts w:ascii="Calibri" w:hAnsi="Calibri"/>
          <w:color w:val="19322B"/>
        </w:rPr>
        <w:t>Protect health, safety, systems, people, property, and legal rights</w:t>
      </w:r>
    </w:p>
    <w:p>
      <w:pPr>
        <w:pStyle w:val="ListBullet"/>
      </w:pPr>
      <w:r>
        <w:rPr>
          <w:rFonts w:ascii="Calibri" w:hAnsi="Calibri"/>
          <w:color w:val="19322B"/>
        </w:rPr>
        <w:t>Meet insurance, accounting, tax, university, contractual, and legal obligations</w:t>
      </w:r>
    </w:p>
    <w:p>
      <w:pPr>
        <w:pStyle w:val="ListBullet"/>
      </w:pPr>
      <w:r>
        <w:rPr>
          <w:rFonts w:ascii="Calibri" w:hAnsi="Calibri"/>
          <w:color w:val="19322B"/>
        </w:rPr>
        <w:t>Improve the program using de-identified or appropriately limited information</w:t>
      </w:r>
    </w:p>
    <w:p>
      <w:pPr>
        <w:pStyle w:val="Heading1"/>
      </w:pPr>
      <w:r>
        <w:t>4. Access and sharing</w:t>
      </w:r>
    </w:p>
    <w:p>
      <w:r>
        <w:rPr>
          <w:rFonts w:ascii="Calibri" w:hAnsi="Calibri"/>
          <w:color w:val="19322B"/>
        </w:rPr>
        <w:t>Access is limited to people with a documented need. Hope Sojourns will share the minimum necessary information with the student, university, host, insurer, emergency contact, service provider, counsel, or authority based on consent, contract, legitimate program need, emergency, or legal obligation. Education records received while acting for a university will be handled according to the university agreement and applicable FERPA requirements.</w:t>
      </w:r>
    </w:p>
    <w:p>
      <w:pPr>
        <w:pStyle w:val="Heading1"/>
      </w:pPr>
      <w:r>
        <w:t>5. Security standards</w:t>
      </w:r>
    </w:p>
    <w:p>
      <w:pPr>
        <w:pStyle w:val="ListBullet"/>
      </w:pPr>
      <w:r>
        <w:rPr>
          <w:rFonts w:ascii="Calibri" w:hAnsi="Calibri"/>
          <w:color w:val="19322B"/>
        </w:rPr>
        <w:t>Unique accounts, strong passwords, multi-factor authentication where available, and prompt access removal</w:t>
      </w:r>
    </w:p>
    <w:p>
      <w:pPr>
        <w:pStyle w:val="ListBullet"/>
      </w:pPr>
      <w:r>
        <w:rPr>
          <w:rFonts w:ascii="Calibri" w:hAnsi="Calibri"/>
          <w:color w:val="19322B"/>
        </w:rPr>
        <w:t>Encryption in transit and at rest where supported</w:t>
      </w:r>
    </w:p>
    <w:p>
      <w:pPr>
        <w:pStyle w:val="ListBullet"/>
      </w:pPr>
      <w:r>
        <w:rPr>
          <w:rFonts w:ascii="Calibri" w:hAnsi="Calibri"/>
          <w:color w:val="19322B"/>
        </w:rPr>
        <w:t>Restricted storage for health, screening, safeguarding, legal, and identity documents</w:t>
      </w:r>
    </w:p>
    <w:p>
      <w:pPr>
        <w:pStyle w:val="ListBullet"/>
      </w:pPr>
      <w:r>
        <w:rPr>
          <w:rFonts w:ascii="Calibri" w:hAnsi="Calibri"/>
          <w:color w:val="19322B"/>
        </w:rPr>
        <w:t>Approved devices, current software, secure backups, and periodic access review</w:t>
      </w:r>
    </w:p>
    <w:p>
      <w:pPr>
        <w:pStyle w:val="ListBullet"/>
      </w:pPr>
      <w:r>
        <w:rPr>
          <w:rFonts w:ascii="Calibri" w:hAnsi="Calibri"/>
          <w:color w:val="19322B"/>
        </w:rPr>
        <w:t>No sensitive participant data in unapproved personal messaging, shared drives, or public links</w:t>
      </w:r>
    </w:p>
    <w:p>
      <w:pPr>
        <w:pStyle w:val="ListBullet"/>
      </w:pPr>
      <w:r>
        <w:rPr>
          <w:rFonts w:ascii="Calibri" w:hAnsi="Calibri"/>
          <w:color w:val="19322B"/>
        </w:rPr>
        <w:t>Prompt reporting and documented response to suspected loss, unauthorized access, or disclosure</w:t>
      </w:r>
    </w:p>
    <w:p>
      <w:pPr>
        <w:pStyle w:val="Heading1"/>
      </w:pPr>
      <w:r>
        <w:t>6. Proposed retention schedule</w:t>
      </w:r>
    </w:p>
    <w:tbl>
      <w:tblPr>
        <w:tblStyle w:val="TableGrid"/>
        <w:tblW w:type="dxa" w:w="9360"/>
        <w:jc w:val="left"/>
        <w:tblLayout w:type="fixed"/>
        <w:tblLook w:firstColumn="1" w:firstRow="1" w:lastColumn="0" w:lastRow="0" w:noHBand="0" w:noVBand="1" w:val="04A0"/>
        <w:tblInd w:w="120" w:type="dxa"/>
      </w:tblPr>
      <w:tblGrid>
        <w:gridCol w:w="2950"/>
        <w:gridCol w:w="2100"/>
        <w:gridCol w:w="4310"/>
      </w:tblGrid>
      <w:tr>
        <w:trPr>
          <w:cantSplit/>
          <w:tblHeader w:val="true"/>
        </w:trPr>
        <w:tc>
          <w:tcPr>
            <w:tcW w:type="dxa" w:w="2950"/>
            <w:tcMar>
              <w:top w:w="100" w:type="dxa"/>
              <w:start w:w="130" w:type="dxa"/>
              <w:bottom w:w="100" w:type="dxa"/>
              <w:end w:w="130" w:type="dxa"/>
            </w:tcMar>
            <w:vAlign w:val="center"/>
            <w:shd w:fill="174F43"/>
          </w:tcPr>
          <w:p>
            <w:pPr>
              <w:spacing w:after="0"/>
            </w:pPr>
            <w:r>
              <w:rPr>
                <w:rFonts w:ascii="Calibri" w:hAnsi="Calibri"/>
                <w:b/>
                <w:color w:val="FFFFFF"/>
                <w:sz w:val="16"/>
              </w:rPr>
              <w:t>Record category</w:t>
            </w:r>
          </w:p>
        </w:tc>
        <w:tc>
          <w:tcPr>
            <w:tcW w:type="dxa" w:w="2100"/>
            <w:tcMar>
              <w:top w:w="100" w:type="dxa"/>
              <w:start w:w="130" w:type="dxa"/>
              <w:bottom w:w="100" w:type="dxa"/>
              <w:end w:w="130" w:type="dxa"/>
            </w:tcMar>
            <w:vAlign w:val="center"/>
            <w:shd w:fill="174F43"/>
          </w:tcPr>
          <w:p>
            <w:pPr>
              <w:spacing w:after="0"/>
            </w:pPr>
            <w:r>
              <w:rPr>
                <w:rFonts w:ascii="Calibri" w:hAnsi="Calibri"/>
                <w:b/>
                <w:color w:val="FFFFFF"/>
                <w:sz w:val="16"/>
              </w:rPr>
              <w:t>Proposed retention</w:t>
            </w:r>
          </w:p>
        </w:tc>
        <w:tc>
          <w:tcPr>
            <w:tcW w:type="dxa" w:w="4310"/>
            <w:tcMar>
              <w:top w:w="100" w:type="dxa"/>
              <w:start w:w="130" w:type="dxa"/>
              <w:bottom w:w="100" w:type="dxa"/>
              <w:end w:w="130" w:type="dxa"/>
            </w:tcMar>
            <w:vAlign w:val="center"/>
            <w:shd w:fill="174F43"/>
          </w:tcPr>
          <w:p>
            <w:pPr>
              <w:spacing w:after="0"/>
            </w:pPr>
            <w:r>
              <w:rPr>
                <w:rFonts w:ascii="Calibri" w:hAnsi="Calibri"/>
                <w:b/>
                <w:color w:val="FFFFFF"/>
                <w:sz w:val="16"/>
              </w:rPr>
              <w:t>Notes</w:t>
            </w:r>
          </w:p>
        </w:tc>
      </w:tr>
      <w:tr>
        <w:trPr>
          <w:cantSplit/>
        </w:trPr>
        <w:tc>
          <w:tcPr>
            <w:tcW w:type="dxa" w:w="2950"/>
            <w:shd w:fill="F7FAF8"/>
          </w:tcPr>
          <w:p>
            <w:pPr>
              <w:spacing w:after="0"/>
            </w:pPr>
            <w:r>
              <w:rPr>
                <w:rFonts w:ascii="Calibri" w:hAnsi="Calibri"/>
                <w:color w:val="19322B"/>
                <w:sz w:val="16"/>
              </w:rPr>
              <w:t>Unsuccessful or incomplete applications</w:t>
            </w:r>
          </w:p>
        </w:tc>
        <w:tc>
          <w:tcPr>
            <w:tcW w:type="dxa" w:w="2100"/>
            <w:shd w:fill="F7FAF8"/>
          </w:tcPr>
          <w:p>
            <w:pPr>
              <w:spacing w:after="0"/>
            </w:pPr>
            <w:r>
              <w:rPr>
                <w:rFonts w:ascii="Calibri" w:hAnsi="Calibri"/>
                <w:color w:val="19322B"/>
                <w:sz w:val="16"/>
              </w:rPr>
              <w:t>2 years</w:t>
            </w:r>
          </w:p>
        </w:tc>
        <w:tc>
          <w:tcPr>
            <w:tcW w:type="dxa" w:w="4310"/>
            <w:shd w:fill="F7FAF8"/>
          </w:tcPr>
          <w:p>
            <w:pPr>
              <w:spacing w:after="0"/>
            </w:pPr>
            <w:r>
              <w:rPr>
                <w:rFonts w:ascii="Calibri" w:hAnsi="Calibri"/>
                <w:color w:val="19322B"/>
                <w:sz w:val="16"/>
              </w:rPr>
              <w:t>Retain only what is useful for follow-up, defense, or reporting.</w:t>
            </w:r>
          </w:p>
        </w:tc>
      </w:tr>
      <w:tr>
        <w:trPr>
          <w:cantSplit/>
        </w:trPr>
        <w:tc>
          <w:tcPr>
            <w:tcW w:type="dxa" w:w="2950"/>
          </w:tcPr>
          <w:p>
            <w:pPr>
              <w:spacing w:after="0"/>
            </w:pPr>
            <w:r>
              <w:rPr>
                <w:rFonts w:ascii="Calibri" w:hAnsi="Calibri"/>
                <w:color w:val="19322B"/>
                <w:sz w:val="16"/>
              </w:rPr>
              <w:t>Participant agreements, learning records, evaluations</w:t>
            </w:r>
          </w:p>
        </w:tc>
        <w:tc>
          <w:tcPr>
            <w:tcW w:type="dxa" w:w="2100"/>
          </w:tcPr>
          <w:p>
            <w:pPr>
              <w:spacing w:after="0"/>
            </w:pPr>
            <w:r>
              <w:rPr>
                <w:rFonts w:ascii="Calibri" w:hAnsi="Calibri"/>
                <w:color w:val="19322B"/>
                <w:sz w:val="16"/>
              </w:rPr>
              <w:t>7 years after completion</w:t>
            </w:r>
          </w:p>
        </w:tc>
        <w:tc>
          <w:tcPr>
            <w:tcW w:type="dxa" w:w="4310"/>
          </w:tcPr>
          <w:p>
            <w:pPr>
              <w:spacing w:after="0"/>
            </w:pPr>
            <w:r>
              <w:rPr>
                <w:rFonts w:ascii="Calibri" w:hAnsi="Calibri"/>
                <w:color w:val="19322B"/>
                <w:sz w:val="16"/>
              </w:rPr>
              <w:t>Longer when university contract or law requires.</w:t>
            </w:r>
          </w:p>
        </w:tc>
      </w:tr>
      <w:tr>
        <w:trPr>
          <w:cantSplit/>
        </w:trPr>
        <w:tc>
          <w:tcPr>
            <w:tcW w:type="dxa" w:w="2950"/>
            <w:shd w:fill="F7FAF8"/>
          </w:tcPr>
          <w:p>
            <w:pPr>
              <w:spacing w:after="0"/>
            </w:pPr>
            <w:r>
              <w:rPr>
                <w:rFonts w:ascii="Calibri" w:hAnsi="Calibri"/>
                <w:color w:val="19322B"/>
                <w:sz w:val="16"/>
              </w:rPr>
              <w:t>Financial and tax records</w:t>
            </w:r>
          </w:p>
        </w:tc>
        <w:tc>
          <w:tcPr>
            <w:tcW w:type="dxa" w:w="2100"/>
            <w:shd w:fill="F7FAF8"/>
          </w:tcPr>
          <w:p>
            <w:pPr>
              <w:spacing w:after="0"/>
            </w:pPr>
            <w:r>
              <w:rPr>
                <w:rFonts w:ascii="Calibri" w:hAnsi="Calibri"/>
                <w:color w:val="19322B"/>
                <w:sz w:val="16"/>
              </w:rPr>
              <w:t>7 years</w:t>
            </w:r>
          </w:p>
        </w:tc>
        <w:tc>
          <w:tcPr>
            <w:tcW w:type="dxa" w:w="4310"/>
            <w:shd w:fill="F7FAF8"/>
          </w:tcPr>
          <w:p>
            <w:pPr>
              <w:spacing w:after="0"/>
            </w:pPr>
            <w:r>
              <w:rPr>
                <w:rFonts w:ascii="Calibri" w:hAnsi="Calibri"/>
                <w:color w:val="19322B"/>
                <w:sz w:val="16"/>
              </w:rPr>
              <w:t>Coordinate with accountant and payment provider.</w:t>
            </w:r>
          </w:p>
        </w:tc>
      </w:tr>
      <w:tr>
        <w:trPr>
          <w:cantSplit/>
        </w:trPr>
        <w:tc>
          <w:tcPr>
            <w:tcW w:type="dxa" w:w="2950"/>
          </w:tcPr>
          <w:p>
            <w:pPr>
              <w:spacing w:after="0"/>
            </w:pPr>
            <w:r>
              <w:rPr>
                <w:rFonts w:ascii="Calibri" w:hAnsi="Calibri"/>
                <w:color w:val="19322B"/>
                <w:sz w:val="16"/>
              </w:rPr>
              <w:t>Background-check reports</w:t>
            </w:r>
          </w:p>
        </w:tc>
        <w:tc>
          <w:tcPr>
            <w:tcW w:type="dxa" w:w="2100"/>
          </w:tcPr>
          <w:p>
            <w:pPr>
              <w:spacing w:after="0"/>
            </w:pPr>
            <w:r>
              <w:rPr>
                <w:rFonts w:ascii="Calibri" w:hAnsi="Calibri"/>
                <w:color w:val="19322B"/>
                <w:sz w:val="16"/>
              </w:rPr>
              <w:t>Shortest lawful operational period; target 5 years or less</w:t>
            </w:r>
          </w:p>
        </w:tc>
        <w:tc>
          <w:tcPr>
            <w:tcW w:type="dxa" w:w="4310"/>
          </w:tcPr>
          <w:p>
            <w:pPr>
              <w:spacing w:after="0"/>
            </w:pPr>
            <w:r>
              <w:rPr>
                <w:rFonts w:ascii="Calibri" w:hAnsi="Calibri"/>
                <w:color w:val="19322B"/>
                <w:sz w:val="16"/>
              </w:rPr>
              <w:t>Store separately; retain eligibility outcome longer only if justified.</w:t>
            </w:r>
          </w:p>
        </w:tc>
      </w:tr>
      <w:tr>
        <w:trPr>
          <w:cantSplit/>
        </w:trPr>
        <w:tc>
          <w:tcPr>
            <w:tcW w:type="dxa" w:w="2950"/>
            <w:shd w:fill="F7FAF8"/>
          </w:tcPr>
          <w:p>
            <w:pPr>
              <w:spacing w:after="0"/>
            </w:pPr>
            <w:r>
              <w:rPr>
                <w:rFonts w:ascii="Calibri" w:hAnsi="Calibri"/>
                <w:color w:val="19322B"/>
                <w:sz w:val="16"/>
              </w:rPr>
              <w:t>Routine check-in notes</w:t>
            </w:r>
          </w:p>
        </w:tc>
        <w:tc>
          <w:tcPr>
            <w:tcW w:type="dxa" w:w="2100"/>
            <w:shd w:fill="F7FAF8"/>
          </w:tcPr>
          <w:p>
            <w:pPr>
              <w:spacing w:after="0"/>
            </w:pPr>
            <w:r>
              <w:rPr>
                <w:rFonts w:ascii="Calibri" w:hAnsi="Calibri"/>
                <w:color w:val="19322B"/>
                <w:sz w:val="16"/>
              </w:rPr>
              <w:t>3 years after completion</w:t>
            </w:r>
          </w:p>
        </w:tc>
        <w:tc>
          <w:tcPr>
            <w:tcW w:type="dxa" w:w="4310"/>
            <w:shd w:fill="F7FAF8"/>
          </w:tcPr>
          <w:p>
            <w:pPr>
              <w:spacing w:after="0"/>
            </w:pPr>
            <w:r>
              <w:rPr>
                <w:rFonts w:ascii="Calibri" w:hAnsi="Calibri"/>
                <w:color w:val="19322B"/>
                <w:sz w:val="16"/>
              </w:rPr>
              <w:t>Move material incidents to the incident file.</w:t>
            </w:r>
          </w:p>
        </w:tc>
      </w:tr>
      <w:tr>
        <w:trPr>
          <w:cantSplit/>
        </w:trPr>
        <w:tc>
          <w:tcPr>
            <w:tcW w:type="dxa" w:w="2950"/>
          </w:tcPr>
          <w:p>
            <w:pPr>
              <w:spacing w:after="0"/>
            </w:pPr>
            <w:r>
              <w:rPr>
                <w:rFonts w:ascii="Calibri" w:hAnsi="Calibri"/>
                <w:color w:val="19322B"/>
                <w:sz w:val="16"/>
              </w:rPr>
              <w:t>Incident, safeguarding, claim, or litigation records</w:t>
            </w:r>
          </w:p>
        </w:tc>
        <w:tc>
          <w:tcPr>
            <w:tcW w:type="dxa" w:w="2100"/>
          </w:tcPr>
          <w:p>
            <w:pPr>
              <w:spacing w:after="0"/>
            </w:pPr>
            <w:r>
              <w:rPr>
                <w:rFonts w:ascii="Calibri" w:hAnsi="Calibri"/>
                <w:color w:val="19322B"/>
                <w:sz w:val="16"/>
              </w:rPr>
              <w:t>At least 7 years after closure; longer for minors/claims</w:t>
            </w:r>
          </w:p>
        </w:tc>
        <w:tc>
          <w:tcPr>
            <w:tcW w:type="dxa" w:w="4310"/>
          </w:tcPr>
          <w:p>
            <w:pPr>
              <w:spacing w:after="0"/>
            </w:pPr>
            <w:r>
              <w:rPr>
                <w:rFonts w:ascii="Calibri" w:hAnsi="Calibri"/>
                <w:color w:val="19322B"/>
                <w:sz w:val="16"/>
              </w:rPr>
              <w:t>Set final period with counsel and insurer.</w:t>
            </w:r>
          </w:p>
        </w:tc>
      </w:tr>
      <w:tr>
        <w:trPr>
          <w:cantSplit/>
        </w:trPr>
        <w:tc>
          <w:tcPr>
            <w:tcW w:type="dxa" w:w="2950"/>
            <w:shd w:fill="F7FAF8"/>
          </w:tcPr>
          <w:p>
            <w:pPr>
              <w:spacing w:after="0"/>
            </w:pPr>
            <w:r>
              <w:rPr>
                <w:rFonts w:ascii="Calibri" w:hAnsi="Calibri"/>
                <w:color w:val="19322B"/>
                <w:sz w:val="16"/>
              </w:rPr>
              <w:t>Emergency travel documents</w:t>
            </w:r>
          </w:p>
        </w:tc>
        <w:tc>
          <w:tcPr>
            <w:tcW w:type="dxa" w:w="2100"/>
            <w:shd w:fill="F7FAF8"/>
          </w:tcPr>
          <w:p>
            <w:pPr>
              <w:spacing w:after="0"/>
            </w:pPr>
            <w:r>
              <w:rPr>
                <w:rFonts w:ascii="Calibri" w:hAnsi="Calibri"/>
                <w:color w:val="19322B"/>
                <w:sz w:val="16"/>
              </w:rPr>
              <w:t>90 days after safe return unless incident or claim requires longer</w:t>
            </w:r>
          </w:p>
        </w:tc>
        <w:tc>
          <w:tcPr>
            <w:tcW w:type="dxa" w:w="4310"/>
            <w:shd w:fill="F7FAF8"/>
          </w:tcPr>
          <w:p>
            <w:pPr>
              <w:spacing w:after="0"/>
            </w:pPr>
            <w:r>
              <w:rPr>
                <w:rFonts w:ascii="Calibri" w:hAnsi="Calibri"/>
                <w:color w:val="19322B"/>
                <w:sz w:val="16"/>
              </w:rPr>
              <w:t>Delete passport/visa copies as soon as operationally unnecessary.</w:t>
            </w:r>
          </w:p>
        </w:tc>
      </w:tr>
      <w:tr>
        <w:trPr>
          <w:cantSplit/>
        </w:trPr>
        <w:tc>
          <w:tcPr>
            <w:tcW w:type="dxa" w:w="2950"/>
          </w:tcPr>
          <w:p>
            <w:pPr>
              <w:spacing w:after="0"/>
            </w:pPr>
            <w:r>
              <w:rPr>
                <w:rFonts w:ascii="Calibri" w:hAnsi="Calibri"/>
                <w:color w:val="19322B"/>
                <w:sz w:val="16"/>
              </w:rPr>
              <w:t>Portal security logs</w:t>
            </w:r>
          </w:p>
        </w:tc>
        <w:tc>
          <w:tcPr>
            <w:tcW w:type="dxa" w:w="2100"/>
          </w:tcPr>
          <w:p>
            <w:pPr>
              <w:spacing w:after="0"/>
            </w:pPr>
            <w:r>
              <w:rPr>
                <w:rFonts w:ascii="Calibri" w:hAnsi="Calibri"/>
                <w:color w:val="19322B"/>
                <w:sz w:val="16"/>
              </w:rPr>
              <w:t>1 year</w:t>
            </w:r>
          </w:p>
        </w:tc>
        <w:tc>
          <w:tcPr>
            <w:tcW w:type="dxa" w:w="4310"/>
          </w:tcPr>
          <w:p>
            <w:pPr>
              <w:spacing w:after="0"/>
            </w:pPr>
            <w:r>
              <w:rPr>
                <w:rFonts w:ascii="Calibri" w:hAnsi="Calibri"/>
                <w:color w:val="19322B"/>
                <w:sz w:val="16"/>
              </w:rPr>
              <w:t>Longer when used for an investigation.</w:t>
            </w:r>
          </w:p>
        </w:tc>
      </w:tr>
    </w:tbl>
    <w:p>
      <w:pPr>
        <w:spacing w:after="0"/>
      </w:pPr>
    </w:p>
    <w:p>
      <w:pPr>
        <w:pStyle w:val="Heading1"/>
      </w:pPr>
      <w:r>
        <w:t>7. Individual requests and correction</w:t>
      </w:r>
    </w:p>
    <w:p>
      <w:r>
        <w:rPr>
          <w:rFonts w:ascii="Calibri" w:hAnsi="Calibri"/>
          <w:color w:val="19322B"/>
        </w:rPr>
        <w:t>Hope Sojourns will provide a practical process to request access, correction, restriction, or deletion where applicable. Requests will be verified, documented, and answered within [30] days unless law or a university agreement requires another timeline. Some records cannot be deleted while required for safety, contract, tax, claims, or legal obligations.</w:t>
      </w:r>
    </w:p>
    <w:p>
      <w:pPr>
        <w:pStyle w:val="Heading1"/>
      </w:pPr>
      <w:r>
        <w:t>8. Breach and incident response</w:t>
      </w:r>
    </w:p>
    <w:p>
      <w:pPr>
        <w:spacing w:after="120" w:line="293" w:lineRule="auto"/>
        <w:numPr>
          <w:ilvl w:val="0"/>
          <w:numId w:val="10"/>
        </w:numPr>
      </w:pPr>
      <w:r>
        <w:rPr>
          <w:rFonts w:ascii="Calibri" w:hAnsi="Calibri"/>
          <w:color w:val="19322B"/>
        </w:rPr>
        <w:t>Contain access and preserve evidence.</w:t>
      </w:r>
    </w:p>
    <w:p>
      <w:pPr>
        <w:spacing w:after="120" w:line="293" w:lineRule="auto"/>
        <w:numPr>
          <w:ilvl w:val="0"/>
          <w:numId w:val="10"/>
        </w:numPr>
      </w:pPr>
      <w:r>
        <w:rPr>
          <w:rFonts w:ascii="Calibri" w:hAnsi="Calibri"/>
          <w:color w:val="19322B"/>
        </w:rPr>
        <w:t>Notify the privacy and incident leads.</w:t>
      </w:r>
    </w:p>
    <w:p>
      <w:pPr>
        <w:spacing w:after="120" w:line="293" w:lineRule="auto"/>
        <w:numPr>
          <w:ilvl w:val="0"/>
          <w:numId w:val="10"/>
        </w:numPr>
      </w:pPr>
      <w:r>
        <w:rPr>
          <w:rFonts w:ascii="Calibri" w:hAnsi="Calibri"/>
          <w:color w:val="19322B"/>
        </w:rPr>
        <w:t>Determine what data, people, systems, and jurisdictions are affected.</w:t>
      </w:r>
    </w:p>
    <w:p>
      <w:pPr>
        <w:spacing w:after="120" w:line="293" w:lineRule="auto"/>
        <w:numPr>
          <w:ilvl w:val="0"/>
          <w:numId w:val="10"/>
        </w:numPr>
      </w:pPr>
      <w:r>
        <w:rPr>
          <w:rFonts w:ascii="Calibri" w:hAnsi="Calibri"/>
          <w:color w:val="19322B"/>
        </w:rPr>
        <w:t>Consult counsel, insurer, university, vendors, and law enforcement as appropriate.</w:t>
      </w:r>
    </w:p>
    <w:p>
      <w:pPr>
        <w:spacing w:after="120" w:line="293" w:lineRule="auto"/>
        <w:numPr>
          <w:ilvl w:val="0"/>
          <w:numId w:val="10"/>
        </w:numPr>
      </w:pPr>
      <w:r>
        <w:rPr>
          <w:rFonts w:ascii="Calibri" w:hAnsi="Calibri"/>
          <w:color w:val="19322B"/>
        </w:rPr>
        <w:t>Provide required notices and practical protection steps without unreasonable delay.</w:t>
      </w:r>
    </w:p>
    <w:p>
      <w:pPr>
        <w:spacing w:after="120" w:line="293" w:lineRule="auto"/>
        <w:numPr>
          <w:ilvl w:val="0"/>
          <w:numId w:val="10"/>
        </w:numPr>
      </w:pPr>
      <w:r>
        <w:rPr>
          <w:rFonts w:ascii="Calibri" w:hAnsi="Calibri"/>
          <w:color w:val="19322B"/>
        </w:rPr>
        <w:t>Document root cause, remediation, and prevention measures.</w:t>
      </w:r>
    </w:p>
    <w:p>
      <w:pPr>
        <w:pStyle w:val="Heading1"/>
      </w:pPr>
      <w:r>
        <w:t>9. Governance</w:t>
      </w:r>
    </w:p>
    <w:p>
      <w:pPr>
        <w:spacing w:after="100"/>
      </w:pPr>
      <w:r>
        <w:rPr>
          <w:rFonts w:ascii="Calibri" w:hAnsi="Calibri"/>
          <w:b/>
          <w:color w:val="0F352D"/>
          <w:sz w:val="21"/>
        </w:rPr>
        <w:t xml:space="preserve">Policy owner: </w:t>
      </w:r>
      <w:r>
        <w:rPr>
          <w:rFonts w:ascii="Calibri" w:hAnsi="Calibri"/>
          <w:i/>
          <w:color w:val="5A6E67"/>
          <w:sz w:val="21"/>
        </w:rPr>
        <w:t>[NAME/TITLE]</w:t>
      </w:r>
    </w:p>
    <w:p>
      <w:pPr>
        <w:spacing w:after="100"/>
      </w:pPr>
      <w:r>
        <w:rPr>
          <w:rFonts w:ascii="Calibri" w:hAnsi="Calibri"/>
          <w:b/>
          <w:color w:val="0F352D"/>
          <w:sz w:val="21"/>
        </w:rPr>
        <w:t xml:space="preserve">Privacy contact: </w:t>
      </w:r>
      <w:r>
        <w:rPr>
          <w:rFonts w:ascii="Calibri" w:hAnsi="Calibri"/>
          <w:i/>
          <w:color w:val="5A6E67"/>
          <w:sz w:val="21"/>
        </w:rPr>
        <w:t>[EMAIL/PHONE]</w:t>
      </w:r>
    </w:p>
    <w:p>
      <w:pPr>
        <w:spacing w:after="100"/>
      </w:pPr>
      <w:r>
        <w:rPr>
          <w:rFonts w:ascii="Calibri" w:hAnsi="Calibri"/>
          <w:b/>
          <w:color w:val="0F352D"/>
          <w:sz w:val="21"/>
        </w:rPr>
        <w:t xml:space="preserve">Approved by: </w:t>
      </w:r>
      <w:r>
        <w:rPr>
          <w:rFonts w:ascii="Calibri" w:hAnsi="Calibri"/>
          <w:i/>
          <w:color w:val="5A6E67"/>
          <w:sz w:val="21"/>
        </w:rPr>
        <w:t>[BOARD/OFFICER]</w:t>
      </w:r>
    </w:p>
    <w:p>
      <w:pPr>
        <w:spacing w:after="100"/>
      </w:pPr>
      <w:r>
        <w:rPr>
          <w:rFonts w:ascii="Calibri" w:hAnsi="Calibri"/>
          <w:b/>
          <w:color w:val="0F352D"/>
          <w:sz w:val="21"/>
        </w:rPr>
        <w:t xml:space="preserve">Effective date: </w:t>
      </w:r>
      <w:r>
        <w:rPr>
          <w:rFonts w:ascii="Calibri" w:hAnsi="Calibri"/>
          <w:i/>
          <w:color w:val="5A6E67"/>
          <w:sz w:val="21"/>
        </w:rPr>
        <w:t>[DATE]</w:t>
      </w:r>
    </w:p>
    <w:p>
      <w:pPr>
        <w:spacing w:after="100"/>
      </w:pPr>
      <w:r>
        <w:rPr>
          <w:rFonts w:ascii="Calibri" w:hAnsi="Calibri"/>
          <w:b/>
          <w:color w:val="0F352D"/>
          <w:sz w:val="21"/>
        </w:rPr>
        <w:t xml:space="preserve">Annual review month: </w:t>
      </w:r>
      <w:r>
        <w:rPr>
          <w:rFonts w:ascii="Calibri" w:hAnsi="Calibri"/>
          <w:i/>
          <w:color w:val="5A6E67"/>
          <w:sz w:val="21"/>
        </w:rPr>
        <w:t>[MONTH]</w:t>
      </w:r>
    </w:p>
    <w:sectPr w:rsidR="00FC693F" w:rsidRPr="0006063C" w:rsidSect="00034616">
      <w:headerReference w:type="default" r:id="rId9"/>
      <w:footerReference w:type="default" r:id="rId10"/>
      <w:pgSz w:w="12240" w:h="15840"/>
      <w:pgMar w:top="1224" w:right="1440" w:bottom="1152"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E67"/>
        <w:sz w:val="17"/>
      </w:rPr>
      <w:t xml:space="preserve">Working draft  |  Page </w:t>
    </w:r>
    <w:r>
      <w:rPr>
        <w:rFonts w:ascii="Calibri" w:hAnsi="Calibri"/>
        <w:color w:val="5A6E67"/>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5" w:color="D7E2DD"/>
      </w:pBdr>
    </w:pPr>
    <w:r>
      <w:rPr>
        <w:rFonts w:ascii="Calibri" w:hAnsi="Calibri"/>
        <w:b/>
        <w:color w:val="5A6E67"/>
        <w:sz w:val="17"/>
      </w:rPr>
      <w:t>HOPE SOJOURNS  |  PROGRAM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932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Georgia" w:hAnsi="Georgia"/>
      <w:b/>
      <w:bCs/>
      <w:color w:val="0F352D"/>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74F4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C967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0F35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605" w:hanging="288"/>
      <w:contextualSpacing/>
    </w:pPr>
    <w:rPr>
      <w:rFonts w:ascii="Calibri" w:hAnsi="Calibri"/>
      <w:color w:val="1932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605" w:hanging="288"/>
      <w:contextualSpacing/>
    </w:pPr>
    <w:rPr>
      <w:rFonts w:ascii="Calibri" w:hAnsi="Calibri"/>
      <w:color w:val="19322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Privacy and Record Retention Policy</dc:title>
  <dc:subject>Hope Sojourns college ministry internship program</dc:subject>
  <dc:creator>Hope Sojourns</dc:creator>
  <cp:keywords>Hope Sojourns, internship, ministry, university, student support</cp:keywords>
  <dc:description>generated by python-docx</dc:description>
  <cp:lastModifiedBy/>
  <cp:revision>1</cp:revision>
  <dcterms:created xsi:type="dcterms:W3CDTF">2013-12-23T23:15:00Z</dcterms:created>
  <dcterms:modified xsi:type="dcterms:W3CDTF">2013-12-23T23:15:00Z</dcterms:modified>
  <cp:category/>
</cp:coreProperties>
</file>