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1965960" cy="1095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pe-sojourns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095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rFonts w:ascii="Calibri" w:hAnsi="Calibri"/>
          <w:b/>
          <w:color w:val="D99B42"/>
          <w:sz w:val="18"/>
        </w:rPr>
        <w:t>PROGRAM STRATEGY</w:t>
      </w:r>
    </w:p>
    <w:p>
      <w:pPr>
        <w:pStyle w:val="Title"/>
      </w:pPr>
      <w:r>
        <w:t>College Ministry Internship Program</w:t>
      </w:r>
    </w:p>
    <w:p>
      <w:pPr>
        <w:spacing w:after="280"/>
      </w:pPr>
      <w:r>
        <w:rPr>
          <w:rFonts w:ascii="Calibri" w:hAnsi="Calibri"/>
          <w:i/>
          <w:color w:val="5A6E67"/>
          <w:sz w:val="24"/>
        </w:rPr>
        <w:t>Business model, operating approach, and launch plan</w:t>
      </w:r>
    </w:p>
    <w:p>
      <w:pPr>
        <w:spacing w:after="320"/>
        <w:pBdr>
          <w:bottom w:val="single" w:sz="16" w:space="6" w:color="D99B42"/>
        </w:pBdr>
      </w:pPr>
      <w:r>
        <w:rPr>
          <w:rFonts w:ascii="Calibri" w:hAnsi="Calibri"/>
          <w:b/>
          <w:color w:val="174F43"/>
          <w:sz w:val="18"/>
        </w:rPr>
        <w:t>Internal working model  |  August 2026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3DD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D99B42"/>
                <w:sz w:val="17"/>
              </w:rPr>
              <w:t>RECOMMENDED POSITION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9322B"/>
                <w:sz w:val="21"/>
              </w:rPr>
              <w:t>Hope Sojourns should operate as a vetted internship-placement and field-support partner: connecting students and universities with ministry hosts, preparing participants, helping them transition on site, mentoring them weekly, and maintaining accountable communication.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r>
        <w:rPr>
          <w:rFonts w:ascii="Calibri" w:hAnsi="Calibri"/>
          <w:color w:val="19322B"/>
        </w:rPr>
        <w:t>The program is feasible as a carefully limited pilot. Its strongest value is trust: credible ministry partners, academic alignment, thoughtful preparation, personal support, and clear communication before, during, and after the placement.</w:t>
      </w:r>
    </w:p>
    <w:p>
      <w:pPr>
        <w:pStyle w:val="ListBullet"/>
      </w:pPr>
      <w:r>
        <w:rPr>
          <w:rFonts w:ascii="Calibri" w:hAnsi="Calibri"/>
          <w:color w:val="19322B"/>
        </w:rPr>
        <w:t>Begin with four to eight students and no more than six active interns at one time.</w:t>
      </w:r>
    </w:p>
    <w:p>
      <w:pPr>
        <w:pStyle w:val="ListBullet"/>
      </w:pPr>
      <w:r>
        <w:rPr>
          <w:rFonts w:ascii="Calibri" w:hAnsi="Calibri"/>
          <w:color w:val="19322B"/>
        </w:rPr>
        <w:t>Launch with established ministry relationships and placements lasting primarily six to twelve weeks.</w:t>
      </w:r>
    </w:p>
    <w:p>
      <w:pPr>
        <w:pStyle w:val="ListBullet"/>
      </w:pPr>
      <w:r>
        <w:rPr>
          <w:rFonts w:ascii="Calibri" w:hAnsi="Calibri"/>
          <w:color w:val="19322B"/>
        </w:rPr>
        <w:t>Allow universities to refer or promote candidates, while Hope Sojourns and the host ministry jointly screen and accept each student.</w:t>
      </w:r>
    </w:p>
    <w:p>
      <w:pPr>
        <w:pStyle w:val="ListBullet"/>
      </w:pPr>
      <w:r>
        <w:rPr>
          <w:rFonts w:ascii="Calibri" w:hAnsi="Calibri"/>
          <w:color w:val="19322B"/>
        </w:rPr>
        <w:t>Use written agreements that separate university, Hope Sojourns, host ministry, and student responsibilities.</w:t>
      </w:r>
    </w:p>
    <w:p>
      <w:pPr>
        <w:pStyle w:val="ListBullet"/>
      </w:pPr>
      <w:r>
        <w:rPr>
          <w:rFonts w:ascii="Calibri" w:hAnsi="Calibri"/>
          <w:color w:val="19322B"/>
        </w:rPr>
        <w:t>Charge a transparent Program Support Fee and quote direct leader travel separately at actual cost.</w:t>
      </w:r>
    </w:p>
    <w:p>
      <w:pPr>
        <w:pStyle w:val="ListBullet"/>
      </w:pPr>
      <w:r>
        <w:rPr>
          <w:rFonts w:ascii="Calibri" w:hAnsi="Calibri"/>
          <w:color w:val="19322B"/>
        </w:rPr>
        <w:t>Create donor- and university-supported scholarships so participation is not limited to students with substantial resources.</w:t>
      </w:r>
    </w:p>
    <w:p>
      <w:pPr>
        <w:pStyle w:val="Heading1"/>
      </w:pPr>
      <w:r>
        <w:t>2. Program promise</w:t>
      </w:r>
    </w:p>
    <w:p>
      <w:r>
        <w:rPr>
          <w:rFonts w:ascii="Calibri" w:hAnsi="Calibri"/>
          <w:color w:val="19322B"/>
        </w:rPr>
        <w:t>Hope Sojourns connects college students with vetted ministry internships and surrounds them with academic coordination, practical preparation, on-site transition support, weekly mentoring, and accountable care throughout the experience.</w:t>
      </w:r>
    </w:p>
    <w:p>
      <w:pPr>
        <w:pStyle w:val="Heading2"/>
      </w:pPr>
      <w:r>
        <w:t>Who the program serves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7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Value delivered</w:t>
            </w:r>
          </w:p>
        </w:tc>
      </w:tr>
      <w:tr>
        <w:trPr>
          <w:cantSplit/>
        </w:trPr>
        <w:tc>
          <w:tcPr>
            <w:tcW w:type="dxa" w:w="19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Students</w:t>
            </w:r>
          </w:p>
        </w:tc>
        <w:tc>
          <w:tcPr>
            <w:tcW w:type="dxa" w:w="74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A meaningful placement, clear expectations, preparation, mentoring, advocacy, and a supported transition into a new community.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Universities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Vetted opportunities, named supervision, learning-plan alignment, consistent communication, and documented evaluations.</w:t>
            </w:r>
          </w:p>
        </w:tc>
      </w:tr>
      <w:tr>
        <w:trPr>
          <w:cantSplit/>
        </w:trPr>
        <w:tc>
          <w:tcPr>
            <w:tcW w:type="dxa" w:w="19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Ministry partners</w:t>
            </w:r>
          </w:p>
        </w:tc>
        <w:tc>
          <w:tcPr>
            <w:tcW w:type="dxa" w:w="74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Prepared students, well-defined responsibilities, one Hope Sojourns contact, and help resolving fit or performance concerns.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Families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A clear emergency-contact process and confidence that the student has preparation, supervision, and ongoing support.</w:t>
            </w:r>
          </w:p>
        </w:tc>
      </w:tr>
    </w:tbl>
    <w:p>
      <w:pPr>
        <w:spacing w:after="0"/>
      </w:pPr>
    </w:p>
    <w:p>
      <w:pPr>
        <w:pStyle w:val="Heading1"/>
      </w:pPr>
      <w:r>
        <w:t>3. Roles and accountability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Party</w:t>
            </w:r>
          </w:p>
        </w:tc>
        <w:tc>
          <w:tcPr>
            <w:tcW w:type="dxa" w:w="7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Primary responsibilities</w:t>
            </w:r>
          </w:p>
        </w:tc>
      </w:tr>
      <w:tr>
        <w:trPr>
          <w:cantSplit/>
        </w:trPr>
        <w:tc>
          <w:tcPr>
            <w:tcW w:type="dxa" w:w="19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University or college</w:t>
            </w:r>
          </w:p>
        </w:tc>
        <w:tc>
          <w:tcPr>
            <w:tcW w:type="dxa" w:w="74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Determines academic eligibility, credit, assignments, required hours, faculty oversight, and grades.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Hope Sojourns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Vets the host, screens and matches the student, coordinates agreements, provides preparation, supports arrival, meets weekly, communicates with the university, and manages escalation.</w:t>
            </w:r>
          </w:p>
        </w:tc>
      </w:tr>
      <w:tr>
        <w:trPr>
          <w:cantSplit/>
        </w:trPr>
        <w:tc>
          <w:tcPr>
            <w:tcW w:type="dxa" w:w="19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Host ministry</w:t>
            </w:r>
          </w:p>
        </w:tc>
        <w:tc>
          <w:tcPr>
            <w:tcW w:type="dxa" w:w="74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Provides a qualified on-site supervisor, meaningful work, regular feedback, safe working and living arrangements, local orientation, and required evaluations.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Student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Completes academic and ministry expectations, follows policies, maintains communication, obtains required documents and insurance, and pays disclosed expenses.</w:t>
            </w:r>
          </w:p>
        </w:tc>
      </w:tr>
      <w:tr>
        <w:trPr>
          <w:cantSplit/>
        </w:trPr>
        <w:tc>
          <w:tcPr>
            <w:tcW w:type="dxa" w:w="19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Parent or emergency contact</w:t>
            </w:r>
          </w:p>
        </w:tc>
        <w:tc>
          <w:tcPr>
            <w:tcW w:type="dxa" w:w="74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Receives information authorized by the adult student and participates when requested or when a qualifying emergency requires contact.</w:t>
            </w:r>
          </w:p>
        </w:tc>
      </w:tr>
    </w:tbl>
    <w:p>
      <w:pPr>
        <w:spacing w:after="0"/>
      </w:pPr>
    </w:p>
    <w:p>
      <w:pPr>
        <w:pStyle w:val="Heading1"/>
      </w:pPr>
      <w:r>
        <w:t>4. Student experience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Explore: The student reviews current ministry possibilities and submits an interest form.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Assess fit: Hope Sojourns learns about the student's field of study, maturity, goals, availability, and support needs.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Confirm the placement: The host ministry interviews the student and the university confirms academic requirements when credit is involved.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Prepare: Hope Sojourns leads three sessions covering role expectations, cultural humility, logistics, safety, and emergency communication.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Arrive and settle: A Hope Sojourns leader accompanies the student when included, or coordinates a documented local arrival plan at established sites.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Serve and reflect: The student receives daily host supervision and meets weekly with Hope Sojourns for mentoring, reflection, and problem-solving.</w:t>
      </w:r>
    </w:p>
    <w:p>
      <w:pPr>
        <w:spacing w:after="120" w:line="293" w:lineRule="auto"/>
        <w:numPr>
          <w:ilvl w:val="0"/>
          <w:numId w:val="10"/>
        </w:numPr>
      </w:pPr>
      <w:r>
        <w:rPr>
          <w:rFonts w:ascii="Calibri" w:hAnsi="Calibri"/>
          <w:color w:val="19322B"/>
        </w:rPr>
        <w:t>Close well: The student, ministry, university, and Hope Sojourns complete evaluations, learning reflection, and next-step recommendations.</w:t>
      </w:r>
    </w:p>
    <w:p>
      <w:pPr>
        <w:pStyle w:val="Heading1"/>
      </w:pPr>
      <w:r>
        <w:t>5. Current placement portfolio</w:t>
      </w:r>
    </w:p>
    <w:p>
      <w:r>
        <w:rPr>
          <w:rFonts w:ascii="Calibri" w:hAnsi="Calibri"/>
          <w:color w:val="19322B"/>
        </w:rPr>
        <w:t>All opportunities remain subject to partner confirmation, university approval, appropriate supervision, background checks, travel requirements, and fit.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00"/>
        <w:gridCol w:w="4460"/>
        <w:gridCol w:w="1500"/>
      </w:tblGrid>
      <w:tr>
        <w:trPr>
          <w:cantSplit/>
          <w:tblHeader w:val="true"/>
        </w:trP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Potential ministry</w:t>
            </w:r>
          </w:p>
        </w:tc>
        <w:tc>
          <w:tcPr>
            <w:tcW w:type="dxa" w:w="4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Illustrative learning and service</w:t>
            </w:r>
          </w:p>
        </w:tc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Length</w:t>
            </w:r>
          </w:p>
        </w:tc>
      </w:tr>
      <w:tr>
        <w:trPr>
          <w:cantSplit/>
        </w:trPr>
        <w:tc>
          <w:tcPr>
            <w:tcW w:type="dxa" w:w="15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Athens, Greece</w:t>
            </w:r>
          </w:p>
        </w:tc>
        <w:tc>
          <w:tcPr>
            <w:tcW w:type="dxa" w:w="19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New Start Ministries</w:t>
            </w:r>
          </w:p>
        </w:tc>
        <w:tc>
          <w:tcPr>
            <w:tcW w:type="dxa" w:w="44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Compassionate outreach and practical support for women affected by trafficking and sexual exploitation, with an emphasis on dignity, safety, and restoration.</w:t>
            </w:r>
          </w:p>
        </w:tc>
        <w:tc>
          <w:tcPr>
            <w:tcW w:type="dxa" w:w="15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1-9 months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Athens, Greece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Glocal Cafe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Help refugees navigate social and medical support and access food, clothing, and other practical resources through a publicly supported community organization.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1-9 months</w:t>
            </w:r>
          </w:p>
        </w:tc>
      </w:tr>
      <w:tr>
        <w:trPr>
          <w:cantSplit/>
        </w:trPr>
        <w:tc>
          <w:tcPr>
            <w:tcW w:type="dxa" w:w="15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Northern Arkansas</w:t>
            </w:r>
          </w:p>
        </w:tc>
        <w:tc>
          <w:tcPr>
            <w:tcW w:type="dxa" w:w="19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Shephard of the Ozarks (SOTO)</w:t>
            </w:r>
          </w:p>
        </w:tc>
        <w:tc>
          <w:tcPr>
            <w:tcW w:type="dxa" w:w="44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Support Christian camp programming and learn alongside staff caring for camp animals, wooded property, and outdoor ministry spaces.</w:t>
            </w:r>
          </w:p>
        </w:tc>
        <w:tc>
          <w:tcPr>
            <w:tcW w:type="dxa" w:w="15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1-3 months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Dallas, Texas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Metro Relief of Dallas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Learn alongside case workers, support grant development, and participate in relationship-centered outreach with people experiencing homelessness.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1-3 months</w:t>
            </w:r>
          </w:p>
        </w:tc>
      </w:tr>
      <w:tr>
        <w:trPr>
          <w:cantSplit/>
        </w:trPr>
        <w:tc>
          <w:tcPr>
            <w:tcW w:type="dxa" w:w="15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Mexico City, Mexico</w:t>
            </w:r>
          </w:p>
        </w:tc>
        <w:tc>
          <w:tcPr>
            <w:tcW w:type="dxa" w:w="19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God's Kitchen</w:t>
            </w:r>
          </w:p>
        </w:tc>
        <w:tc>
          <w:tcPr>
            <w:tcW w:type="dxa" w:w="44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Serve people experiencing homelessness, displaced families and refugees, and individuals rebuilding their lives after addiction.</w:t>
            </w:r>
          </w:p>
        </w:tc>
        <w:tc>
          <w:tcPr>
            <w:tcW w:type="dxa" w:w="15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2-6 months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England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The Light Group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A developing ministry placement whose final responsibilities will be defined with the partner and participating university.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1-4 months</w:t>
            </w:r>
          </w:p>
        </w:tc>
      </w:tr>
    </w:tbl>
    <w:p>
      <w:pPr>
        <w:spacing w:after="0"/>
      </w:pPr>
    </w:p>
    <w:p>
      <w:pPr>
        <w:pStyle w:val="Heading1"/>
      </w:pPr>
      <w:r>
        <w:t>6. Preparation and support model</w:t>
      </w:r>
    </w:p>
    <w:p>
      <w:pPr>
        <w:pStyle w:val="Heading2"/>
      </w:pPr>
      <w:r>
        <w:t>Pre-departure meetings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Session</w:t>
            </w:r>
          </w:p>
        </w:tc>
        <w:tc>
          <w:tcPr>
            <w:tcW w:type="dxa" w:w="6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27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1. Calling, goals, and expectations</w:t>
            </w:r>
          </w:p>
        </w:tc>
        <w:tc>
          <w:tcPr>
            <w:tcW w:type="dxa" w:w="66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Clarify the student's learning goals, role, schedule, boundaries, university requirements, and what success looks like.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2. Culture, dignity, and ministry practice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Prepare the student for cultural humility, trauma-aware interaction, ethical storytelling, safeguarding, confidentiality, and respectful service.</w:t>
            </w:r>
          </w:p>
        </w:tc>
      </w:tr>
      <w:tr>
        <w:trPr>
          <w:cantSplit/>
        </w:trPr>
        <w:tc>
          <w:tcPr>
            <w:tcW w:type="dxa" w:w="27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3. Travel, safety, and communication</w:t>
            </w:r>
          </w:p>
        </w:tc>
        <w:tc>
          <w:tcPr>
            <w:tcW w:type="dxa" w:w="66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Review travel documents, insurance, local arrival, emergency contacts, technology, personal safety, and incident reporting.</w:t>
            </w:r>
          </w:p>
        </w:tc>
      </w:tr>
    </w:tbl>
    <w:p>
      <w:pPr>
        <w:spacing w:after="0"/>
      </w:pPr>
    </w:p>
    <w:p>
      <w:pPr>
        <w:pStyle w:val="Heading2"/>
      </w:pPr>
      <w:r>
        <w:t>Weekly check-in rhythm</w:t>
      </w:r>
    </w:p>
    <w:p>
      <w:pPr>
        <w:pStyle w:val="ListBullet"/>
      </w:pPr>
      <w:r>
        <w:rPr>
          <w:rFonts w:ascii="Calibri" w:hAnsi="Calibri"/>
          <w:color w:val="19322B"/>
        </w:rPr>
        <w:t>Well-being and adjustment</w:t>
      </w:r>
    </w:p>
    <w:p>
      <w:pPr>
        <w:pStyle w:val="ListBullet"/>
      </w:pPr>
      <w:r>
        <w:rPr>
          <w:rFonts w:ascii="Calibri" w:hAnsi="Calibri"/>
          <w:color w:val="19322B"/>
        </w:rPr>
        <w:t>Progress toward learning objectives</w:t>
      </w:r>
    </w:p>
    <w:p>
      <w:pPr>
        <w:pStyle w:val="ListBullet"/>
      </w:pPr>
      <w:r>
        <w:rPr>
          <w:rFonts w:ascii="Calibri" w:hAnsi="Calibri"/>
          <w:color w:val="19322B"/>
        </w:rPr>
        <w:t>Relationship with the on-site supervisor and team</w:t>
      </w:r>
    </w:p>
    <w:p>
      <w:pPr>
        <w:pStyle w:val="ListBullet"/>
      </w:pPr>
      <w:r>
        <w:rPr>
          <w:rFonts w:ascii="Calibri" w:hAnsi="Calibri"/>
          <w:color w:val="19322B"/>
        </w:rPr>
        <w:t>Cultural observations and ethical questions</w:t>
      </w:r>
    </w:p>
    <w:p>
      <w:pPr>
        <w:pStyle w:val="ListBullet"/>
      </w:pPr>
      <w:r>
        <w:rPr>
          <w:rFonts w:ascii="Calibri" w:hAnsi="Calibri"/>
          <w:color w:val="19322B"/>
        </w:rPr>
        <w:t>Concerns, incidents, or support needed</w:t>
      </w:r>
    </w:p>
    <w:p>
      <w:pPr>
        <w:pStyle w:val="ListBullet"/>
      </w:pPr>
      <w:r>
        <w:rPr>
          <w:rFonts w:ascii="Calibri" w:hAnsi="Calibri"/>
          <w:color w:val="19322B"/>
        </w:rPr>
        <w:t>Commitments and follow-up before the next meeting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F1ED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74F43"/>
                <w:sz w:val="17"/>
              </w:rPr>
              <w:t>SCALABILITY DECISION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9322B"/>
                <w:sz w:val="21"/>
              </w:rPr>
              <w:t>Accompanying every student is a strong launch-year differentiator but a long-term capacity constraint. Group students into common arrival windows and allow established sites to use a documented host-led arrival option when appropriate.</w:t>
            </w:r>
          </w:p>
        </w:tc>
      </w:tr>
    </w:tbl>
    <w:p>
      <w:pPr>
        <w:spacing w:after="0"/>
      </w:pPr>
    </w:p>
    <w:p>
      <w:pPr>
        <w:pStyle w:val="Heading1"/>
      </w:pPr>
      <w:r>
        <w:t>7. Financial model</w:t>
      </w:r>
    </w:p>
    <w:p>
      <w:r>
        <w:rPr>
          <w:rFonts w:ascii="Calibri" w:hAnsi="Calibri"/>
          <w:color w:val="19322B"/>
        </w:rPr>
        <w:t>The public-facing term should be Program Support Fee because it describes the value delivered more clearly than administration fee.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0"/>
        <w:gridCol w:w="2860"/>
      </w:tblGrid>
      <w:tr>
        <w:trPr>
          <w:cantSplit/>
          <w:tblHeader w:val="true"/>
        </w:trPr>
        <w:tc>
          <w:tcPr>
            <w:tcW w:type="dxa" w:w="6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Placement</w:t>
            </w:r>
          </w:p>
        </w:tc>
        <w:tc>
          <w:tcPr>
            <w:tcW w:type="dxa" w:w="2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Recommended pilot fee</w:t>
            </w:r>
          </w:p>
        </w:tc>
      </w:tr>
      <w:tr>
        <w:trPr>
          <w:cantSplit/>
        </w:trPr>
        <w:tc>
          <w:tcPr>
            <w:tcW w:type="dxa" w:w="65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Domestic, 1-2 months</w:t>
            </w:r>
          </w:p>
        </w:tc>
        <w:tc>
          <w:tcPr>
            <w:tcW w:type="dxa" w:w="28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$1,250</w:t>
            </w:r>
          </w:p>
        </w:tc>
      </w:tr>
      <w:tr>
        <w:trPr>
          <w:cantSplit/>
        </w:trPr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Domestic, 2-4 months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$1,750</w:t>
            </w:r>
          </w:p>
        </w:tc>
      </w:tr>
      <w:tr>
        <w:trPr>
          <w:cantSplit/>
        </w:trPr>
        <w:tc>
          <w:tcPr>
            <w:tcW w:type="dxa" w:w="65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International, 1-2 months</w:t>
            </w:r>
          </w:p>
        </w:tc>
        <w:tc>
          <w:tcPr>
            <w:tcW w:type="dxa" w:w="28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$2,750</w:t>
            </w:r>
          </w:p>
        </w:tc>
      </w:tr>
      <w:tr>
        <w:trPr>
          <w:cantSplit/>
        </w:trPr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International, 3-4 months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$3,500</w:t>
            </w:r>
          </w:p>
        </w:tc>
      </w:tr>
      <w:tr>
        <w:trPr>
          <w:cantSplit/>
        </w:trPr>
        <w:tc>
          <w:tcPr>
            <w:tcW w:type="dxa" w:w="65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International, 5-6 months</w:t>
            </w:r>
          </w:p>
        </w:tc>
        <w:tc>
          <w:tcPr>
            <w:tcW w:type="dxa" w:w="28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$4,500</w:t>
            </w:r>
          </w:p>
        </w:tc>
      </w:tr>
      <w:tr>
        <w:trPr>
          <w:cantSplit/>
        </w:trPr>
        <w:tc>
          <w:tcPr>
            <w:tcW w:type="dxa" w:w="65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International, 7-9 months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9"/>
              </w:rPr>
              <w:t>$5,750</w:t>
            </w:r>
          </w:p>
        </w:tc>
      </w:tr>
    </w:tbl>
    <w:p>
      <w:pPr>
        <w:spacing w:after="0"/>
      </w:pPr>
    </w:p>
    <w:p>
      <w:pPr>
        <w:pStyle w:val="Heading2"/>
      </w:pPr>
      <w:r>
        <w:t>What the Program Support Fee covers</w:t>
      </w:r>
    </w:p>
    <w:p>
      <w:pPr>
        <w:pStyle w:val="ListBullet"/>
      </w:pPr>
      <w:r>
        <w:rPr>
          <w:rFonts w:ascii="Calibri" w:hAnsi="Calibri"/>
          <w:color w:val="19322B"/>
        </w:rPr>
        <w:t>Applicant assessment, matching, and host coordination</w:t>
      </w:r>
    </w:p>
    <w:p>
      <w:pPr>
        <w:pStyle w:val="ListBullet"/>
      </w:pPr>
      <w:r>
        <w:rPr>
          <w:rFonts w:ascii="Calibri" w:hAnsi="Calibri"/>
          <w:color w:val="19322B"/>
        </w:rPr>
        <w:t>University learning-agreement support</w:t>
      </w:r>
    </w:p>
    <w:p>
      <w:pPr>
        <w:pStyle w:val="ListBullet"/>
      </w:pPr>
      <w:r>
        <w:rPr>
          <w:rFonts w:ascii="Calibri" w:hAnsi="Calibri"/>
          <w:color w:val="19322B"/>
        </w:rPr>
        <w:t>Three structured preparation meetings</w:t>
      </w:r>
    </w:p>
    <w:p>
      <w:pPr>
        <w:pStyle w:val="ListBullet"/>
      </w:pPr>
      <w:r>
        <w:rPr>
          <w:rFonts w:ascii="Calibri" w:hAnsi="Calibri"/>
          <w:color w:val="19322B"/>
        </w:rPr>
        <w:t>Weekly individual check-ins and documentation</w:t>
      </w:r>
    </w:p>
    <w:p>
      <w:pPr>
        <w:pStyle w:val="ListBullet"/>
      </w:pPr>
      <w:r>
        <w:rPr>
          <w:rFonts w:ascii="Calibri" w:hAnsi="Calibri"/>
          <w:color w:val="19322B"/>
        </w:rPr>
        <w:t>University and host communication</w:t>
      </w:r>
    </w:p>
    <w:p>
      <w:pPr>
        <w:pStyle w:val="ListBullet"/>
      </w:pPr>
      <w:r>
        <w:rPr>
          <w:rFonts w:ascii="Calibri" w:hAnsi="Calibri"/>
          <w:color w:val="19322B"/>
        </w:rPr>
        <w:t>Midpoint and final reporting</w:t>
      </w:r>
    </w:p>
    <w:p>
      <w:pPr>
        <w:pStyle w:val="ListBullet"/>
      </w:pPr>
      <w:r>
        <w:rPr>
          <w:rFonts w:ascii="Calibri" w:hAnsi="Calibri"/>
          <w:color w:val="19322B"/>
        </w:rPr>
        <w:t>Arrival and transition planning</w:t>
      </w:r>
    </w:p>
    <w:p>
      <w:pPr>
        <w:pStyle w:val="ListBullet"/>
      </w:pPr>
      <w:r>
        <w:rPr>
          <w:rFonts w:ascii="Calibri" w:hAnsi="Calibri"/>
          <w:color w:val="19322B"/>
        </w:rPr>
        <w:t>Hope Sojourns leader professional time during launch travel</w:t>
      </w:r>
    </w:p>
    <w:p>
      <w:pPr>
        <w:pStyle w:val="ListBullet"/>
      </w:pPr>
      <w:r>
        <w:rPr>
          <w:rFonts w:ascii="Calibri" w:hAnsi="Calibri"/>
          <w:color w:val="19322B"/>
        </w:rPr>
        <w:t>Routine problem-solving and emergency coordination</w:t>
      </w:r>
    </w:p>
    <w:p>
      <w:pPr>
        <w:pStyle w:val="Heading2"/>
      </w:pPr>
      <w:r>
        <w:t>Student financial responsibility</w:t>
      </w:r>
    </w:p>
    <w:p>
      <w:pPr>
        <w:pStyle w:val="ListBullet"/>
      </w:pPr>
      <w:r>
        <w:rPr>
          <w:rFonts w:ascii="Calibri" w:hAnsi="Calibri"/>
          <w:color w:val="19322B"/>
        </w:rPr>
        <w:t>University tuition and fees, when required by the student's institution</w:t>
      </w:r>
    </w:p>
    <w:p>
      <w:pPr>
        <w:pStyle w:val="ListBullet"/>
      </w:pPr>
      <w:r>
        <w:rPr>
          <w:rFonts w:ascii="Calibri" w:hAnsi="Calibri"/>
          <w:color w:val="19322B"/>
        </w:rPr>
        <w:t>The student's airfare and other travel</w:t>
      </w:r>
    </w:p>
    <w:p>
      <w:pPr>
        <w:pStyle w:val="ListBullet"/>
      </w:pPr>
      <w:r>
        <w:rPr>
          <w:rFonts w:ascii="Calibri" w:hAnsi="Calibri"/>
          <w:color w:val="19322B"/>
        </w:rPr>
        <w:t>Housing, food, and local transportation unless provided or subsidized by the local ministry</w:t>
      </w:r>
    </w:p>
    <w:p>
      <w:pPr>
        <w:pStyle w:val="ListBullet"/>
      </w:pPr>
      <w:r>
        <w:rPr>
          <w:rFonts w:ascii="Calibri" w:hAnsi="Calibri"/>
          <w:color w:val="19322B"/>
        </w:rPr>
        <w:t>Passport, visa, background check, vaccinations, and personal expenses</w:t>
      </w:r>
    </w:p>
    <w:p>
      <w:pPr>
        <w:pStyle w:val="ListBullet"/>
      </w:pPr>
      <w:r>
        <w:rPr>
          <w:rFonts w:ascii="Calibri" w:hAnsi="Calibri"/>
          <w:color w:val="19322B"/>
        </w:rPr>
        <w:t>Required travel health, medical evacuation, and trip-protection coverage</w:t>
      </w:r>
    </w:p>
    <w:p>
      <w:pPr>
        <w:pStyle w:val="ListBullet"/>
      </w:pPr>
      <w:r>
        <w:rPr>
          <w:rFonts w:ascii="Calibri" w:hAnsi="Calibri"/>
          <w:color w:val="19322B"/>
        </w:rPr>
        <w:t>The Program Support Fee</w:t>
      </w:r>
    </w:p>
    <w:p>
      <w:pPr>
        <w:pStyle w:val="ListBullet"/>
      </w:pPr>
      <w:r>
        <w:rPr>
          <w:rFonts w:ascii="Calibri" w:hAnsi="Calibri"/>
          <w:color w:val="19322B"/>
        </w:rPr>
        <w:t>A disclosed share of direct Hope Sojourns leader travel expenses when accompaniment is included</w:t>
      </w:r>
    </w:p>
    <w:p>
      <w:pPr>
        <w:pStyle w:val="Heading2"/>
      </w:pPr>
      <w:r>
        <w:t>Leader travel policy</w:t>
      </w:r>
    </w:p>
    <w:p>
      <w:pPr>
        <w:pStyle w:val="ListBullet"/>
      </w:pPr>
      <w:r>
        <w:rPr>
          <w:rFonts w:ascii="Calibri" w:hAnsi="Calibri"/>
          <w:color w:val="19322B"/>
        </w:rPr>
        <w:t>Quote airfare, lodging, ground transportation, visas, and a published meal allowance before commitment.</w:t>
      </w:r>
    </w:p>
    <w:p>
      <w:pPr>
        <w:pStyle w:val="ListBullet"/>
      </w:pPr>
      <w:r>
        <w:rPr>
          <w:rFonts w:ascii="Calibri" w:hAnsi="Calibri"/>
          <w:color w:val="19322B"/>
        </w:rPr>
        <w:t>Bill direct travel expenses at actual cost without airfare markup.</w:t>
      </w:r>
    </w:p>
    <w:p>
      <w:pPr>
        <w:pStyle w:val="ListBullet"/>
      </w:pPr>
      <w:r>
        <w:rPr>
          <w:rFonts w:ascii="Calibri" w:hAnsi="Calibri"/>
          <w:color w:val="19322B"/>
        </w:rPr>
        <w:t>Split leader travel expenses equitably when multiple students share the same arrival trip.</w:t>
      </w:r>
    </w:p>
    <w:p>
      <w:pPr>
        <w:pStyle w:val="ListBullet"/>
      </w:pPr>
      <w:r>
        <w:rPr>
          <w:rFonts w:ascii="Calibri" w:hAnsi="Calibri"/>
          <w:color w:val="19322B"/>
        </w:rPr>
        <w:t>Use a written maximum authorized amount and document any material change before purchase.</w:t>
      </w:r>
    </w:p>
    <w:p>
      <w:pPr>
        <w:pStyle w:val="ListBullet"/>
      </w:pPr>
      <w:r>
        <w:rPr>
          <w:rFonts w:ascii="Calibri" w:hAnsi="Calibri"/>
          <w:color w:val="19322B"/>
        </w:rPr>
        <w:t>Keep leader professional time inside the Program Support Fee rather than charging a separate daily consulting rate.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0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C9674E"/>
                <w:sz w:val="17"/>
              </w:rPr>
              <w:t>ACCESS AND EQUITY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9322B"/>
                <w:sz w:val="21"/>
              </w:rPr>
              <w:t>Because students may also pay tuition and serve without wages, Hope Sojourns should seek ministry-provided housing, food, local transportation, or stipends whenever possible and establish a donor-supported Internship Access Fund.</w:t>
            </w:r>
          </w:p>
        </w:tc>
      </w:tr>
    </w:tbl>
    <w:p>
      <w:pPr>
        <w:spacing w:after="0"/>
      </w:pPr>
    </w:p>
    <w:p>
      <w:pPr>
        <w:pStyle w:val="Heading1"/>
      </w:pPr>
      <w:r>
        <w:t>8. University partnership strategy</w:t>
      </w:r>
    </w:p>
    <w:p>
      <w:r>
        <w:rPr>
          <w:rFonts w:ascii="Calibri" w:hAnsi="Calibri"/>
          <w:color w:val="19322B"/>
        </w:rPr>
        <w:t>Begin with faculty internship coordinators and departments where current placements can support clear learning objectives. University-wide contracts can follow after the pilot produces credible outcomes.</w:t>
      </w:r>
    </w:p>
    <w:p>
      <w:pPr>
        <w:pStyle w:val="Heading2"/>
      </w:pPr>
      <w:r>
        <w:t>Priority academic areas</w:t>
      </w:r>
    </w:p>
    <w:p>
      <w:pPr>
        <w:pStyle w:val="ListBullet"/>
      </w:pPr>
      <w:r>
        <w:rPr>
          <w:rFonts w:ascii="Calibri" w:hAnsi="Calibri"/>
          <w:color w:val="19322B"/>
        </w:rPr>
        <w:t>Ministry, theology, nonprofit management, and organizational leadership</w:t>
      </w:r>
    </w:p>
    <w:p>
      <w:pPr>
        <w:pStyle w:val="ListBullet"/>
      </w:pPr>
      <w:r>
        <w:rPr>
          <w:rFonts w:ascii="Calibri" w:hAnsi="Calibri"/>
          <w:color w:val="19322B"/>
        </w:rPr>
        <w:t>Communications, marketing, journalism, photography, and digital media</w:t>
      </w:r>
    </w:p>
    <w:p>
      <w:pPr>
        <w:pStyle w:val="ListBullet"/>
      </w:pPr>
      <w:r>
        <w:rPr>
          <w:rFonts w:ascii="Calibri" w:hAnsi="Calibri"/>
          <w:color w:val="19322B"/>
        </w:rPr>
        <w:t>Business, accounting, grant development, project management, and hospitality</w:t>
      </w:r>
    </w:p>
    <w:p>
      <w:pPr>
        <w:pStyle w:val="ListBullet"/>
      </w:pPr>
      <w:r>
        <w:rPr>
          <w:rFonts w:ascii="Calibri" w:hAnsi="Calibri"/>
          <w:color w:val="19322B"/>
        </w:rPr>
        <w:t>International studies, sociology, community development, and human services</w:t>
      </w:r>
    </w:p>
    <w:p>
      <w:pPr>
        <w:pStyle w:val="ListBullet"/>
      </w:pPr>
      <w:r>
        <w:rPr>
          <w:rFonts w:ascii="Calibri" w:hAnsi="Calibri"/>
          <w:color w:val="19322B"/>
        </w:rPr>
        <w:t>Education support where the host and university approve appropriate supervision</w:t>
      </w:r>
    </w:p>
    <w:p>
      <w:r>
        <w:rPr>
          <w:rFonts w:ascii="Calibri" w:hAnsi="Calibri"/>
          <w:color w:val="19322B"/>
        </w:rPr>
        <w:t>Clinical social work, counseling, medical, and licensed education placements should wait until a host can satisfy the applicable supervision and accreditation requirements.</w:t>
      </w:r>
    </w:p>
    <w:p>
      <w:pPr>
        <w:pStyle w:val="Heading2"/>
      </w:pPr>
      <w:r>
        <w:t>First conversation</w:t>
      </w:r>
    </w:p>
    <w:p>
      <w:pPr>
        <w:spacing w:after="120" w:line="293" w:lineRule="auto"/>
        <w:numPr>
          <w:ilvl w:val="0"/>
          <w:numId w:val="11"/>
        </w:numPr>
      </w:pPr>
      <w:r>
        <w:rPr>
          <w:rFonts w:ascii="Calibri" w:hAnsi="Calibri"/>
          <w:color w:val="19322B"/>
        </w:rPr>
        <w:t>Present a one-page overview and two complete placement descriptions.</w:t>
      </w:r>
    </w:p>
    <w:p>
      <w:pPr>
        <w:spacing w:after="120" w:line="293" w:lineRule="auto"/>
        <w:numPr>
          <w:ilvl w:val="0"/>
          <w:numId w:val="11"/>
        </w:numPr>
      </w:pPr>
      <w:r>
        <w:rPr>
          <w:rFonts w:ascii="Calibri" w:hAnsi="Calibri"/>
          <w:color w:val="19322B"/>
        </w:rPr>
        <w:t>Ask the department to explain its required hours, learning agreement, supervisor qualifications, evaluation schedule, and insurance requirements.</w:t>
      </w:r>
    </w:p>
    <w:p>
      <w:pPr>
        <w:spacing w:after="120" w:line="293" w:lineRule="auto"/>
        <w:numPr>
          <w:ilvl w:val="0"/>
          <w:numId w:val="11"/>
        </w:numPr>
      </w:pPr>
      <w:r>
        <w:rPr>
          <w:rFonts w:ascii="Calibri" w:hAnsi="Calibri"/>
          <w:color w:val="19322B"/>
        </w:rPr>
        <w:t>Agree on how students will be referred, screened, approved, and supported.</w:t>
      </w:r>
    </w:p>
    <w:p>
      <w:pPr>
        <w:spacing w:after="120" w:line="293" w:lineRule="auto"/>
        <w:numPr>
          <w:ilvl w:val="0"/>
          <w:numId w:val="11"/>
        </w:numPr>
      </w:pPr>
      <w:r>
        <w:rPr>
          <w:rFonts w:ascii="Calibri" w:hAnsi="Calibri"/>
          <w:color w:val="19322B"/>
        </w:rPr>
        <w:t>Pilot with one or two students and complete a joint review before expanding.</w:t>
      </w:r>
    </w:p>
    <w:p>
      <w:pPr>
        <w:pStyle w:val="Heading1"/>
      </w:pPr>
      <w:r>
        <w:t>9. Safeguards and operating standards</w:t>
      </w:r>
    </w:p>
    <w:p>
      <w:pPr>
        <w:pStyle w:val="ListBullet"/>
      </w:pPr>
      <w:r>
        <w:rPr>
          <w:rFonts w:ascii="Calibri" w:hAnsi="Calibri"/>
          <w:color w:val="19322B"/>
        </w:rPr>
        <w:t>Signed university placement agreement, host ministry agreement, student participation agreement, and internship learning agreement</w:t>
      </w:r>
    </w:p>
    <w:p>
      <w:pPr>
        <w:pStyle w:val="ListBullet"/>
      </w:pPr>
      <w:r>
        <w:rPr>
          <w:rFonts w:ascii="Calibri" w:hAnsi="Calibri"/>
          <w:color w:val="19322B"/>
        </w:rPr>
        <w:t>Code of conduct and safeguarding/misconduct-reporting policy</w:t>
      </w:r>
    </w:p>
    <w:p>
      <w:pPr>
        <w:pStyle w:val="ListBullet"/>
      </w:pPr>
      <w:r>
        <w:rPr>
          <w:rFonts w:ascii="Calibri" w:hAnsi="Calibri"/>
          <w:color w:val="19322B"/>
        </w:rPr>
        <w:t>Background-check policy for placements involving children or vulnerable people</w:t>
      </w:r>
    </w:p>
    <w:p>
      <w:pPr>
        <w:pStyle w:val="ListBullet"/>
      </w:pPr>
      <w:r>
        <w:rPr>
          <w:rFonts w:ascii="Calibri" w:hAnsi="Calibri"/>
          <w:color w:val="19322B"/>
        </w:rPr>
        <w:t>Published cancellation and refund policy</w:t>
      </w:r>
    </w:p>
    <w:p>
      <w:pPr>
        <w:pStyle w:val="ListBullet"/>
      </w:pPr>
      <w:r>
        <w:rPr>
          <w:rFonts w:ascii="Calibri" w:hAnsi="Calibri"/>
          <w:color w:val="19322B"/>
        </w:rPr>
        <w:t>Trip-specific emergency plan and a backup Hope Sojourns emergency contact</w:t>
      </w:r>
    </w:p>
    <w:p>
      <w:pPr>
        <w:pStyle w:val="ListBullet"/>
      </w:pPr>
      <w:r>
        <w:rPr>
          <w:rFonts w:ascii="Calibri" w:hAnsi="Calibri"/>
          <w:color w:val="19322B"/>
        </w:rPr>
        <w:t>Written parent/emergency-contact authorization for adult students</w:t>
      </w:r>
    </w:p>
    <w:p>
      <w:pPr>
        <w:pStyle w:val="ListBullet"/>
      </w:pPr>
      <w:r>
        <w:rPr>
          <w:rFonts w:ascii="Calibri" w:hAnsi="Calibri"/>
          <w:color w:val="19322B"/>
        </w:rPr>
        <w:t>Data privacy, access, breach-response, and record-retention standards</w:t>
      </w:r>
    </w:p>
    <w:p>
      <w:pPr>
        <w:pStyle w:val="ListBullet"/>
      </w:pPr>
      <w:r>
        <w:rPr>
          <w:rFonts w:ascii="Calibri" w:hAnsi="Calibri"/>
          <w:color w:val="19322B"/>
        </w:rPr>
        <w:t>General liability, professional liability, travel medical, evacuation, and other coverage confirmed with a qualified broker</w:t>
      </w:r>
    </w:p>
    <w:p>
      <w:pPr>
        <w:pStyle w:val="ListBullet"/>
      </w:pPr>
      <w:r>
        <w:rPr>
          <w:rFonts w:ascii="Calibri" w:hAnsi="Calibri"/>
          <w:color w:val="19322B"/>
        </w:rPr>
        <w:t>Country-specific visa, work-permission, mandatory-reporting, and local-law review</w:t>
      </w:r>
    </w:p>
    <w:p>
      <w:r>
        <w:rPr>
          <w:rFonts w:ascii="Calibri" w:hAnsi="Calibri"/>
          <w:color w:val="19322B"/>
        </w:rPr>
        <w:t>Routine parent communication should be based on the adult student's written authorization. Health or safety emergencies require the emergency plan and applicable law to control the response.</w:t>
      </w:r>
    </w:p>
    <w:p>
      <w:pPr>
        <w:pStyle w:val="Heading1"/>
      </w:pPr>
      <w:r>
        <w:t>10. Year-one pilot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060"/>
        <w:gridCol w:w="2800"/>
      </w:tblGrid>
      <w:tr>
        <w:trPr>
          <w:cantSplit/>
          <w:tblHeader w:val="true"/>
        </w:trP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5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Actions</w:t>
            </w:r>
          </w:p>
        </w:tc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174F43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Success evidence</w:t>
            </w:r>
          </w:p>
        </w:tc>
      </w:tr>
      <w:tr>
        <w:trPr>
          <w:cantSplit/>
        </w:trPr>
        <w:tc>
          <w:tcPr>
            <w:tcW w:type="dxa" w:w="15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Foundation | 0-45 days</w:t>
            </w:r>
          </w:p>
        </w:tc>
        <w:tc>
          <w:tcPr>
            <w:tcW w:type="dxa" w:w="50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Finalize the program model, vet priority sites, confirm insurance, review templates with counsel, and interview university coordinators.</w:t>
            </w:r>
          </w:p>
        </w:tc>
        <w:tc>
          <w:tcPr>
            <w:tcW w:type="dxa" w:w="28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Two placement-ready hosts and an approved operating packet.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Recruitment | 45-90 days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Publish student-facing information, provide university briefs, accept applications, screen students, and confirm academic requirements.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Four to eight qualified applicants and two university relationships.</w:t>
            </w:r>
          </w:p>
        </w:tc>
      </w:tr>
      <w:tr>
        <w:trPr>
          <w:cantSplit/>
        </w:trPr>
        <w:tc>
          <w:tcPr>
            <w:tcW w:type="dxa" w:w="15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Pilot delivery | 3-12 months</w:t>
            </w:r>
          </w:p>
        </w:tc>
        <w:tc>
          <w:tcPr>
            <w:tcW w:type="dxa" w:w="506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Run preparation, accompany launch placements as promised, complete weekly check-ins, document incidents, and collect evaluations.</w:t>
            </w:r>
          </w:p>
        </w:tc>
        <w:tc>
          <w:tcPr>
            <w:tcW w:type="dxa" w:w="2800"/>
            <w:shd w:fill="F7FAF8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At least 90% completion and strong student, host, and university feedback.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Review and scale | after pilot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Compare actual hours and costs with fees, revise policies, strengthen scholarships, and group future arrivals by destination.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Calibri" w:hAnsi="Calibri"/>
                <w:color w:val="19322B"/>
                <w:sz w:val="17"/>
              </w:rPr>
              <w:t>Repeat host/university interest and a sustainable cost per placement.</w:t>
            </w:r>
          </w:p>
        </w:tc>
      </w:tr>
    </w:tbl>
    <w:p>
      <w:pPr>
        <w:spacing w:after="0"/>
      </w:pPr>
    </w:p>
    <w:p>
      <w:pPr>
        <w:pStyle w:val="Heading1"/>
      </w:pPr>
      <w:r>
        <w:t>11. Performance measures</w:t>
      </w:r>
    </w:p>
    <w:p>
      <w:pPr>
        <w:pStyle w:val="ListBullet"/>
      </w:pPr>
      <w:r>
        <w:rPr>
          <w:rFonts w:ascii="Calibri" w:hAnsi="Calibri"/>
          <w:color w:val="19322B"/>
        </w:rPr>
        <w:t>Application-to-placement conversion and reasons applicants do not proceed</w:t>
      </w:r>
    </w:p>
    <w:p>
      <w:pPr>
        <w:pStyle w:val="ListBullet"/>
      </w:pPr>
      <w:r>
        <w:rPr>
          <w:rFonts w:ascii="Calibri" w:hAnsi="Calibri"/>
          <w:color w:val="19322B"/>
        </w:rPr>
        <w:t>Student completion rate and learning-goal attainment</w:t>
      </w:r>
    </w:p>
    <w:p>
      <w:pPr>
        <w:pStyle w:val="ListBullet"/>
      </w:pPr>
      <w:r>
        <w:rPr>
          <w:rFonts w:ascii="Calibri" w:hAnsi="Calibri"/>
          <w:color w:val="19322B"/>
        </w:rPr>
        <w:t>Student, host supervisor, and university satisfaction</w:t>
      </w:r>
    </w:p>
    <w:p>
      <w:pPr>
        <w:pStyle w:val="ListBullet"/>
      </w:pPr>
      <w:r>
        <w:rPr>
          <w:rFonts w:ascii="Calibri" w:hAnsi="Calibri"/>
          <w:color w:val="19322B"/>
        </w:rPr>
        <w:t>Incidents, response time, resolution quality, and lessons learned</w:t>
      </w:r>
    </w:p>
    <w:p>
      <w:pPr>
        <w:pStyle w:val="ListBullet"/>
      </w:pPr>
      <w:r>
        <w:rPr>
          <w:rFonts w:ascii="Calibri" w:hAnsi="Calibri"/>
          <w:color w:val="19322B"/>
        </w:rPr>
        <w:t>Direct staff hours, direct cost, and contribution margin by placement</w:t>
      </w:r>
    </w:p>
    <w:p>
      <w:pPr>
        <w:pStyle w:val="ListBullet"/>
      </w:pPr>
      <w:r>
        <w:rPr>
          <w:rFonts w:ascii="Calibri" w:hAnsi="Calibri"/>
          <w:color w:val="19322B"/>
        </w:rPr>
        <w:t>Housing, food, transportation, stipend, and scholarship support secured</w:t>
      </w:r>
    </w:p>
    <w:p>
      <w:pPr>
        <w:pStyle w:val="ListBullet"/>
      </w:pPr>
      <w:r>
        <w:rPr>
          <w:rFonts w:ascii="Calibri" w:hAnsi="Calibri"/>
          <w:color w:val="19322B"/>
        </w:rPr>
        <w:t>Repeat placements from the same university and host ministry</w:t>
      </w:r>
    </w:p>
    <w:p>
      <w:pPr>
        <w:pStyle w:val="Heading1"/>
      </w:pPr>
      <w:r>
        <w:t>12. Source notes</w:t>
      </w:r>
    </w:p>
    <w:p>
      <w:pPr>
        <w:pStyle w:val="ListBullet"/>
      </w:pPr>
      <w:hyperlink r:id="rId12">
        <w:r>
          <w:rPr>
            <w:color w:val="174F43"/>
            <w:u w:val="single"/>
          </w:rPr>
          <w:t>National Association of Colleges and Employers - Internship definition and quality standards</w:t>
        </w:r>
      </w:hyperlink>
    </w:p>
    <w:p>
      <w:pPr>
        <w:pStyle w:val="ListBullet"/>
      </w:pPr>
      <w:hyperlink r:id="rId13">
        <w:r>
          <w:rPr>
            <w:color w:val="174F43"/>
            <w:u w:val="single"/>
          </w:rPr>
          <w:t>U.S. Department of Labor - Fact Sheet #71 on internship programs</w:t>
        </w:r>
      </w:hyperlink>
    </w:p>
    <w:p>
      <w:pPr>
        <w:pStyle w:val="ListBullet"/>
      </w:pPr>
      <w:hyperlink r:id="rId14">
        <w:r>
          <w:rPr>
            <w:color w:val="174F43"/>
            <w:u w:val="single"/>
          </w:rPr>
          <w:t>Southern Methodist University - Internship Learning Contract</w:t>
        </w:r>
      </w:hyperlink>
    </w:p>
    <w:p>
      <w:pPr>
        <w:pStyle w:val="ListBullet"/>
      </w:pPr>
      <w:hyperlink r:id="rId15">
        <w:r>
          <w:rPr>
            <w:color w:val="174F43"/>
            <w:u w:val="single"/>
          </w:rPr>
          <w:t>University of North Texas - Employer internship information</w:t>
        </w:r>
      </w:hyperlink>
    </w:p>
    <w:p>
      <w:pPr>
        <w:pStyle w:val="ListBullet"/>
      </w:pPr>
      <w:hyperlink r:id="rId16">
        <w:r>
          <w:rPr>
            <w:color w:val="174F43"/>
            <w:u w:val="single"/>
          </w:rPr>
          <w:t>U.S. Department of Education - FERPA and parents of postsecondary students</w:t>
        </w:r>
      </w:hyperlink>
    </w:p>
    <w:p>
      <w:pPr>
        <w:pStyle w:val="ListBullet"/>
      </w:pPr>
      <w:hyperlink r:id="rId17">
        <w:r>
          <w:rPr>
            <w:color w:val="174F43"/>
            <w:u w:val="single"/>
          </w:rPr>
          <w:t>U.S. Department of State - Students abroad safety guidance</w:t>
        </w:r>
      </w:hyperlink>
    </w:p>
    <w:p>
      <w:pPr>
        <w:pStyle w:val="ListBullet"/>
      </w:pPr>
      <w:hyperlink r:id="rId18">
        <w:r>
          <w:rPr>
            <w:color w:val="174F43"/>
            <w:u w:val="single"/>
          </w:rPr>
          <w:t>CIEE - 2026 summer global internship fees</w:t>
        </w:r>
      </w:hyperlink>
    </w:p>
    <w:p>
      <w:pPr>
        <w:pStyle w:val="ListBullet"/>
      </w:pPr>
      <w:hyperlink r:id="rId19">
        <w:r>
          <w:rPr>
            <w:color w:val="174F43"/>
            <w:u w:val="single"/>
          </w:rPr>
          <w:t>AT3 - 2026 ministry internship fees</w:t>
        </w:r>
      </w:hyperlink>
    </w:p>
    <w:p>
      <w:pPr>
        <w:pStyle w:val="ListBullet"/>
      </w:pPr>
      <w:hyperlink r:id="rId20">
        <w:r>
          <w:rPr>
            <w:color w:val="174F43"/>
            <w:u w:val="single"/>
          </w:rPr>
          <w:t>SEPE International - Three-month Christian missions internship</w:t>
        </w:r>
      </w:hyperlink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0E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9B2F2F"/>
                <w:sz w:val="17"/>
              </w:rPr>
              <w:t>REVIEW BEFORE USE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9322B"/>
                <w:sz w:val="21"/>
              </w:rPr>
              <w:t>This is an operational draft, not legal advice. Hope Sojourns should have Texas counsel, its insurance broker, and each participating university review the document before adoption. Country-specific counsel may be needed for international placements.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A6E67"/>
        <w:sz w:val="17"/>
      </w:rPr>
      <w:t xml:space="preserve">Working draft  |  Page </w:t>
    </w:r>
    <w:r>
      <w:rPr>
        <w:rFonts w:ascii="Calibri" w:hAnsi="Calibri"/>
        <w:color w:val="5A6E67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8" w:space="5" w:color="D7E2DD"/>
      </w:pBdr>
    </w:pPr>
    <w:r>
      <w:rPr>
        <w:rFonts w:ascii="Calibri" w:hAnsi="Calibri"/>
        <w:b/>
        <w:color w:val="5A6E67"/>
        <w:sz w:val="17"/>
      </w:rPr>
      <w:t>HOPE SOJOURNS  |  PROGRAM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00" w:lineRule="auto"/>
    </w:pPr>
    <w:rPr>
      <w:rFonts w:ascii="Calibri" w:hAnsi="Calibri"/>
      <w:color w:val="1932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Georgia" w:hAnsi="Georgia"/>
      <w:b/>
      <w:bCs/>
      <w:color w:val="0F35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Georgia" w:hAnsi="Georgia"/>
      <w:b/>
      <w:bCs/>
      <w:color w:val="174F4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C967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0F35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93" w:lineRule="auto"/>
      <w:ind w:left="720" w:hanging="360"/>
      <w:contextualSpacing/>
    </w:pPr>
    <w:rPr>
      <w:rFonts w:ascii="Calibri" w:hAnsi="Calibri"/>
      <w:color w:val="19322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93" w:lineRule="auto"/>
      <w:ind w:left="720" w:hanging="360"/>
      <w:contextualSpacing/>
    </w:pPr>
    <w:rPr>
      <w:rFonts w:ascii="Calibri" w:hAnsi="Calibri"/>
      <w:color w:val="19322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naceweb.org/internships/" TargetMode="External"/><Relationship Id="rId13" Type="http://schemas.openxmlformats.org/officeDocument/2006/relationships/hyperlink" Target="https://www.dol.gov/agencies/whd/fact-sheets/71-flsa-internships" TargetMode="External"/><Relationship Id="rId14" Type="http://schemas.openxmlformats.org/officeDocument/2006/relationships/hyperlink" Target="https://www.smu.edu/-/media/site/dedman/studentresources/dedmanrecordsandacademicservices/forms/dedman-internship-contract-03262021.pdf" TargetMode="External"/><Relationship Id="rId15" Type="http://schemas.openxmlformats.org/officeDocument/2006/relationships/hyperlink" Target="https://class.unt.edu/political-science/undergraduate/internships/employer-information.html" TargetMode="External"/><Relationship Id="rId16" Type="http://schemas.openxmlformats.org/officeDocument/2006/relationships/hyperlink" Target="https://studentprivacy.ed.gov/faq/must-postsecondary-institutions-provide-parent-access-eligible-students-education-records" TargetMode="External"/><Relationship Id="rId17" Type="http://schemas.openxmlformats.org/officeDocument/2006/relationships/hyperlink" Target="https://travel.state.gov/content/travel/en/international-travel/before-you-go/travelers-with-special-considerations/students.htmldisclaimers.html" TargetMode="External"/><Relationship Id="rId18" Type="http://schemas.openxmlformats.org/officeDocument/2006/relationships/hyperlink" Target="https://www.ciee.org/sites/default/files/documents/2025-06/fee-entry-worksheet-summer-2026.pdf" TargetMode="External"/><Relationship Id="rId19" Type="http://schemas.openxmlformats.org/officeDocument/2006/relationships/hyperlink" Target="https://at-3.org/faqs-for-interns" TargetMode="External"/><Relationship Id="rId20" Type="http://schemas.openxmlformats.org/officeDocument/2006/relationships/hyperlink" Target="https://sepeinternational.org/program/christian-mission-internships/3-months-internshi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College Ministry Internship Program</dc:title>
  <dc:subject>Hope Sojourns college ministry internship program</dc:subject>
  <dc:creator>Hope Sojourns</dc:creator>
  <cp:keywords>Hope Sojourns, internship, ministry, university, student support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