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1965960" cy="1095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pe-sojourns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095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rPr>
          <w:rFonts w:ascii="Calibri" w:hAnsi="Calibri"/>
          <w:b/>
          <w:color w:val="D99B42"/>
          <w:sz w:val="18"/>
        </w:rPr>
        <w:t>RISK CHECKLIST</w:t>
      </w:r>
    </w:p>
    <w:p>
      <w:pPr>
        <w:pStyle w:val="Title"/>
      </w:pPr>
      <w:r>
        <w:t>Insurance Requirements and Coverage Checklist</w:t>
      </w:r>
    </w:p>
    <w:p>
      <w:pPr>
        <w:spacing w:after="280"/>
      </w:pPr>
      <w:r>
        <w:rPr>
          <w:rFonts w:ascii="Calibri" w:hAnsi="Calibri"/>
          <w:i/>
          <w:color w:val="5A6E67"/>
          <w:sz w:val="24"/>
        </w:rPr>
        <w:t>Planning targets for organizational, host, and participant protection</w:t>
      </w:r>
    </w:p>
    <w:p>
      <w:pPr>
        <w:spacing w:after="320"/>
        <w:pBdr>
          <w:bottom w:val="single" w:sz="16" w:space="6" w:color="D99B42"/>
        </w:pBdr>
      </w:pPr>
      <w:r>
        <w:rPr>
          <w:rFonts w:ascii="Calibri" w:hAnsi="Calibri"/>
          <w:b/>
          <w:color w:val="174F43"/>
          <w:sz w:val="18"/>
        </w:rPr>
        <w:t>Working draft  |  August 2026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0E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9B2F2F"/>
                <w:sz w:val="17"/>
              </w:rPr>
              <w:t>REVIEW BEFORE USE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19322B"/>
                <w:sz w:val="21"/>
              </w:rPr>
              <w:t>This is an operational draft, not legal advice. Hope Sojourns should have Texas counsel, its insurance broker, and each participating university review the document before adoption. Country-specific counsel may be needed for international placements.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3DD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D99B42"/>
                <w:sz w:val="17"/>
              </w:rPr>
              <w:t>BROKER CONFIRMATION REQUIRED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19322B"/>
                <w:sz w:val="21"/>
              </w:rPr>
              <w:t>Coverage names, limits, exclusions, territory, and additional-insured requirements vary. These are planning targets only. A qualified broker should confirm the final program design, countries, activities, vehicles, housing, vulnerable populations, and contracts.</w:t>
            </w:r>
          </w:p>
        </w:tc>
      </w:tr>
    </w:tbl>
    <w:p>
      <w:pPr>
        <w:spacing w:after="0"/>
      </w:pPr>
    </w:p>
    <w:p>
      <w:pPr>
        <w:pStyle w:val="Heading1"/>
      </w:pPr>
      <w:r>
        <w:t>1. Hope Sojourns organizational coverage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2300"/>
        <w:gridCol w:w="4260"/>
      </w:tblGrid>
      <w:tr>
        <w:trPr>
          <w:cantSplit/>
          <w:tblHeader w:val="true"/>
        </w:trPr>
        <w:tc>
          <w:tcPr>
            <w:tcW w:type="dxa" w:w="2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Coverage</w:t>
            </w:r>
          </w:p>
        </w:tc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Planning target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Confirm</w:t>
            </w:r>
          </w:p>
        </w:tc>
      </w:tr>
      <w:tr>
        <w:trPr>
          <w:cantSplit/>
        </w:trPr>
        <w:tc>
          <w:tcPr>
            <w:tcW w:type="dxa" w:w="28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6"/>
              </w:rPr>
              <w:t>Commercial general liability</w:t>
            </w:r>
          </w:p>
        </w:tc>
        <w:tc>
          <w:tcPr>
            <w:tcW w:type="dxa" w:w="23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6"/>
              </w:rPr>
              <w:t>$1M per occurrence / $2M aggregate</w:t>
            </w:r>
          </w:p>
        </w:tc>
        <w:tc>
          <w:tcPr>
            <w:tcW w:type="dxa" w:w="42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6"/>
              </w:rPr>
              <w:t>☐ Limits  ☐ Territory  ☐ Volunteers/interns  ☐ Additional insured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6"/>
              </w:rPr>
              <w:t>Professional liability / errors and omissions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6"/>
              </w:rPr>
              <w:t>$1M</w:t>
            </w:r>
          </w:p>
        </w:tc>
        <w:tc>
          <w:tcPr>
            <w:tcW w:type="dxa" w:w="426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6"/>
              </w:rPr>
              <w:t>☐ Placement/advising activity  ☐ Defense costs  ☐ International claims</w:t>
            </w:r>
          </w:p>
        </w:tc>
      </w:tr>
      <w:tr>
        <w:trPr>
          <w:cantSplit/>
        </w:trPr>
        <w:tc>
          <w:tcPr>
            <w:tcW w:type="dxa" w:w="28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6"/>
              </w:rPr>
              <w:t>Abuse and molestation / sexual misconduct</w:t>
            </w:r>
          </w:p>
        </w:tc>
        <w:tc>
          <w:tcPr>
            <w:tcW w:type="dxa" w:w="23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6"/>
              </w:rPr>
              <w:t>$1M or broker recommendation</w:t>
            </w:r>
          </w:p>
        </w:tc>
        <w:tc>
          <w:tcPr>
            <w:tcW w:type="dxa" w:w="42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6"/>
              </w:rPr>
              <w:t>☐ Participant-to-client  ☐ Leader-to-participant  ☐ Defense and reporting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6"/>
              </w:rPr>
              <w:t>Directors and officers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6"/>
              </w:rPr>
              <w:t>$1M or broker recommendation</w:t>
            </w:r>
          </w:p>
        </w:tc>
        <w:tc>
          <w:tcPr>
            <w:tcW w:type="dxa" w:w="426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6"/>
              </w:rPr>
              <w:t>☐ Employment practices  ☐ Volunteer leadership  ☐ Defense</w:t>
            </w:r>
          </w:p>
        </w:tc>
      </w:tr>
      <w:tr>
        <w:trPr>
          <w:cantSplit/>
        </w:trPr>
        <w:tc>
          <w:tcPr>
            <w:tcW w:type="dxa" w:w="28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6"/>
              </w:rPr>
              <w:t>Cyber/privacy liability</w:t>
            </w:r>
          </w:p>
        </w:tc>
        <w:tc>
          <w:tcPr>
            <w:tcW w:type="dxa" w:w="23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6"/>
              </w:rPr>
              <w:t>$1M or broker recommendation</w:t>
            </w:r>
          </w:p>
        </w:tc>
        <w:tc>
          <w:tcPr>
            <w:tcW w:type="dxa" w:w="42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6"/>
              </w:rPr>
              <w:t>☐ Breach response  ☐ Participant data  ☐ Vendor events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6"/>
              </w:rPr>
              <w:t>Hired and non-owned automobile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6"/>
              </w:rPr>
              <w:t>$1M when applicable</w:t>
            </w:r>
          </w:p>
        </w:tc>
        <w:tc>
          <w:tcPr>
            <w:tcW w:type="dxa" w:w="426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6"/>
              </w:rPr>
              <w:t>☐ Rental vehicles  ☐ Volunteer drivers  ☐ International exclusion</w:t>
            </w:r>
          </w:p>
        </w:tc>
      </w:tr>
      <w:tr>
        <w:trPr>
          <w:cantSplit/>
        </w:trPr>
        <w:tc>
          <w:tcPr>
            <w:tcW w:type="dxa" w:w="28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6"/>
              </w:rPr>
              <w:t>Workers' compensation</w:t>
            </w:r>
          </w:p>
        </w:tc>
        <w:tc>
          <w:tcPr>
            <w:tcW w:type="dxa" w:w="23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6"/>
              </w:rPr>
              <w:t>As required</w:t>
            </w:r>
          </w:p>
        </w:tc>
        <w:tc>
          <w:tcPr>
            <w:tcW w:type="dxa" w:w="42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6"/>
              </w:rPr>
              <w:t>☐ Employee classification  ☐ Travel  ☐ State/country obligations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6"/>
              </w:rPr>
              <w:t>Foreign package / international liability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6"/>
              </w:rPr>
              <w:t>Broker recommendation</w:t>
            </w:r>
          </w:p>
        </w:tc>
        <w:tc>
          <w:tcPr>
            <w:tcW w:type="dxa" w:w="426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6"/>
              </w:rPr>
              <w:t>☐ Foreign voluntary workers comp  ☐ Evacuation  ☐ Kidnap/security assistance</w:t>
            </w:r>
          </w:p>
        </w:tc>
      </w:tr>
    </w:tbl>
    <w:p>
      <w:pPr>
        <w:spacing w:after="0"/>
      </w:pPr>
    </w:p>
    <w:p>
      <w:pPr>
        <w:pStyle w:val="Heading1"/>
      </w:pPr>
      <w:r>
        <w:t>2. Host ministry evidence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Certificate or other acceptable evidence of general liability received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Professional, abuse/molestation, automobile, property/housing, and workers' compensation coverage reviewed as applicable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Policy territory includes the placement activities and location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Hope Sojourns and university additional-insured requirements confirmed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Material exclusions, deductibles, and claims-reporting procedures documented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Host indemnity and insurance wording reviewed by counsel/broker</w:t>
      </w:r>
    </w:p>
    <w:p>
      <w:pPr>
        <w:pStyle w:val="Heading1"/>
      </w:pPr>
      <w:r>
        <w:t>3. Student travel coverage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100"/>
        <w:gridCol w:w="3560"/>
      </w:tblGrid>
      <w:tr>
        <w:trPr>
          <w:cantSplit/>
          <w:tblHeader w:val="true"/>
        </w:trPr>
        <w:tc>
          <w:tcPr>
            <w:tcW w:type="dxa" w:w="2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Coverage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Planning minimum</w:t>
            </w:r>
          </w:p>
        </w:tc>
        <w:tc>
          <w:tcPr>
            <w:tcW w:type="dxa" w:w="3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Verified details</w:t>
            </w:r>
          </w:p>
        </w:tc>
      </w:tr>
      <w:tr>
        <w:trPr>
          <w:cantSplit/>
        </w:trPr>
        <w:tc>
          <w:tcPr>
            <w:tcW w:type="dxa" w:w="27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Travel medical</w:t>
            </w:r>
          </w:p>
        </w:tc>
        <w:tc>
          <w:tcPr>
            <w:tcW w:type="dxa" w:w="31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$100,000 or university/broker requirement</w:t>
            </w:r>
          </w:p>
        </w:tc>
        <w:tc>
          <w:tcPr>
            <w:tcW w:type="dxa" w:w="35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Carrier, policy, dates, territory, exclusions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Emergency medical evacuation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$250,000 or university/broker requirement</w:t>
            </w:r>
          </w:p>
        </w:tc>
        <w:tc>
          <w:tcPr>
            <w:tcW w:type="dxa" w:w="356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Assistance number, approval process, destination</w:t>
            </w:r>
          </w:p>
        </w:tc>
      </w:tr>
      <w:tr>
        <w:trPr>
          <w:cantSplit/>
        </w:trPr>
        <w:tc>
          <w:tcPr>
            <w:tcW w:type="dxa" w:w="27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Repatriation of remains</w:t>
            </w:r>
          </w:p>
        </w:tc>
        <w:tc>
          <w:tcPr>
            <w:tcW w:type="dxa" w:w="31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$25,000 or university/broker requirement</w:t>
            </w:r>
          </w:p>
        </w:tc>
        <w:tc>
          <w:tcPr>
            <w:tcW w:type="dxa" w:w="35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Benefit and contact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Trip cancellation/interruption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Strongly recommended</w:t>
            </w:r>
          </w:p>
        </w:tc>
        <w:tc>
          <w:tcPr>
            <w:tcW w:type="dxa" w:w="356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Covered reasons and limits</w:t>
            </w:r>
          </w:p>
        </w:tc>
      </w:tr>
      <w:tr>
        <w:trPr>
          <w:cantSplit/>
        </w:trPr>
        <w:tc>
          <w:tcPr>
            <w:tcW w:type="dxa" w:w="27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Personal liability</w:t>
            </w:r>
          </w:p>
        </w:tc>
        <w:tc>
          <w:tcPr>
            <w:tcW w:type="dxa" w:w="31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As required by destination/host</w:t>
            </w:r>
          </w:p>
        </w:tc>
        <w:tc>
          <w:tcPr>
            <w:tcW w:type="dxa" w:w="35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Territory and activities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High-risk activities or conditions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Specific written confirmation</w:t>
            </w:r>
          </w:p>
        </w:tc>
        <w:tc>
          <w:tcPr>
            <w:tcW w:type="dxa" w:w="356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Adventure, driving, manual work, pre-existing conditions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Placement insurance record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Student: </w:t>
      </w:r>
      <w:r>
        <w:rPr>
          <w:rFonts w:ascii="Calibri" w:hAnsi="Calibri"/>
          <w:i/>
          <w:color w:val="5A6E67"/>
          <w:sz w:val="21"/>
        </w:rPr>
        <w:t>[NAME]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Host/location: </w:t>
      </w:r>
      <w:r>
        <w:rPr>
          <w:rFonts w:ascii="Calibri" w:hAnsi="Calibri"/>
          <w:i/>
          <w:color w:val="5A6E67"/>
          <w:sz w:val="21"/>
        </w:rPr>
        <w:t>[DETAILS]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Dates: </w:t>
      </w:r>
      <w:r>
        <w:rPr>
          <w:rFonts w:ascii="Calibri" w:hAnsi="Calibri"/>
          <w:i/>
          <w:color w:val="5A6E67"/>
          <w:sz w:val="21"/>
        </w:rPr>
        <w:t>[DATES]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Hope Sojourns policies reviewed by: </w:t>
      </w:r>
      <w:r>
        <w:rPr>
          <w:rFonts w:ascii="Calibri" w:hAnsi="Calibri"/>
          <w:i/>
          <w:color w:val="5A6E67"/>
          <w:sz w:val="21"/>
        </w:rPr>
        <w:t>[NAME/DATE]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Host evidence reviewed by: </w:t>
      </w:r>
      <w:r>
        <w:rPr>
          <w:rFonts w:ascii="Calibri" w:hAnsi="Calibri"/>
          <w:i/>
          <w:color w:val="5A6E67"/>
          <w:sz w:val="21"/>
        </w:rPr>
        <w:t>[NAME/DATE]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Student policy reviewed by: </w:t>
      </w:r>
      <w:r>
        <w:rPr>
          <w:rFonts w:ascii="Calibri" w:hAnsi="Calibri"/>
          <w:i/>
          <w:color w:val="5A6E67"/>
          <w:sz w:val="21"/>
        </w:rPr>
        <w:t>[NAME/DATE]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Open exclusions or conditions: </w:t>
      </w:r>
      <w:r>
        <w:rPr>
          <w:rFonts w:ascii="Calibri" w:hAnsi="Calibri"/>
          <w:i/>
          <w:color w:val="5A6E67"/>
          <w:sz w:val="21"/>
        </w:rPr>
        <w:t>[DETAILS]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Broker/counsel sign-off: </w:t>
      </w:r>
      <w:r>
        <w:rPr>
          <w:rFonts w:ascii="Calibri" w:hAnsi="Calibri"/>
          <w:i/>
          <w:color w:val="5A6E67"/>
          <w:sz w:val="21"/>
        </w:rPr>
        <w:t>[NAME/DATE/NOTES]</w:t>
      </w:r>
    </w:p>
    <w:p>
      <w:pPr>
        <w:pStyle w:val="Heading1"/>
      </w:pPr>
      <w:r>
        <w:t>5. Before departure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All required policies are active for the full placement and travel dates.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24/7 assistance and claims contacts are in the emergency plan.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The student knows whether providers require pre-authorization or payment up front.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Medical evacuation destination and authorization process are understood.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Vehicle use, drivers, housing, ministry activities, and vulnerable-population work are covered or excluded explicitly.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Certificates, policy summaries, and relevant exclusions are stored securely and accessible during an emergency.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A6E67"/>
        <w:sz w:val="17"/>
      </w:rPr>
      <w:t xml:space="preserve">Working draft  |  Page </w:t>
    </w:r>
    <w:r>
      <w:rPr>
        <w:rFonts w:ascii="Calibri" w:hAnsi="Calibri"/>
        <w:color w:val="5A6E67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8" w:space="5" w:color="D7E2DD"/>
      </w:pBdr>
    </w:pPr>
    <w:r>
      <w:rPr>
        <w:rFonts w:ascii="Calibri" w:hAnsi="Calibri"/>
        <w:b/>
        <w:color w:val="5A6E67"/>
        <w:sz w:val="17"/>
      </w:rPr>
      <w:t>HOPE SOJOURNS  |  RISK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Calibri" w:hAnsi="Calibri"/>
      <w:color w:val="1932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Georgia" w:hAnsi="Georgia"/>
      <w:b/>
      <w:bCs/>
      <w:color w:val="0F35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Georgia" w:hAnsi="Georgia"/>
      <w:b/>
      <w:bCs/>
      <w:color w:val="174F4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C9674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0F352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605" w:hanging="288"/>
      <w:contextualSpacing/>
    </w:pPr>
    <w:rPr>
      <w:rFonts w:ascii="Calibri" w:hAnsi="Calibri"/>
      <w:color w:val="1932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605" w:hanging="288"/>
      <w:contextualSpacing/>
    </w:pPr>
    <w:rPr>
      <w:rFonts w:ascii="Calibri" w:hAnsi="Calibri"/>
      <w:color w:val="1932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Insurance Requirements and Coverage Checklist</dc:title>
  <dc:subject>Hope Sojourns college ministry internship program</dc:subject>
  <dc:creator>Hope Sojourns</dc:creator>
  <cp:keywords>Hope Sojourns, internship, ministry, university, student support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