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PROGRAM POLICY</w:t>
      </w:r>
    </w:p>
    <w:p>
      <w:pPr>
        <w:pStyle w:val="Title"/>
      </w:pPr>
      <w:r>
        <w:t>Safeguarding and Misconduct Reporting Policy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Protection, reporting, response, and non-retaliation standards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Draft for adoption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REVIEW BEFORE USE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This is an operational draft, not legal advice. Hope Sojourns should have Texas counsel, its insurance broker, and each participating university review the document before adoption. Country-specific counsel may be needed for international placements.</w:t>
            </w:r>
          </w:p>
        </w:tc>
      </w:tr>
    </w:tbl>
    <w:p>
      <w:pPr>
        <w:spacing w:after="0"/>
      </w:pPr>
    </w:p>
    <w:p>
      <w:pPr>
        <w:pStyle w:val="Heading1"/>
      </w:pPr>
      <w:r>
        <w:t>1. Policy commitment</w:t>
      </w:r>
    </w:p>
    <w:p>
      <w:r>
        <w:rPr>
          <w:rFonts w:ascii="Calibri" w:hAnsi="Calibri"/>
          <w:color w:val="19322B"/>
        </w:rPr>
        <w:t>Hope Sojourns is committed to protecting children, vulnerable adults, survivors, students, staff, volunteers, ministry partners, and community members from abuse, exploitation, harassment, neglect, retaliation, and avoidable harm.</w:t>
      </w:r>
    </w:p>
    <w:p>
      <w:pPr>
        <w:pStyle w:val="Heading1"/>
      </w:pPr>
      <w:r>
        <w:t>2. Scope</w:t>
      </w:r>
    </w:p>
    <w:p>
      <w:r>
        <w:rPr>
          <w:rFonts w:ascii="Calibri" w:hAnsi="Calibri"/>
          <w:color w:val="19322B"/>
        </w:rPr>
        <w:t>This policy applies to Hope Sojourns leaders, employees, volunteers, interns, contractors, and participants during selection, preparation, travel, service, housing, transportation, communications, and program-related online activity.</w:t>
      </w:r>
    </w:p>
    <w:p>
      <w:pPr>
        <w:pStyle w:val="Heading1"/>
      </w:pPr>
      <w:r>
        <w:t>3. Prohibited conduct</w:t>
      </w:r>
    </w:p>
    <w:p>
      <w:pPr>
        <w:pStyle w:val="ListBullet"/>
      </w:pPr>
      <w:r>
        <w:rPr>
          <w:rFonts w:ascii="Calibri" w:hAnsi="Calibri"/>
          <w:color w:val="19322B"/>
        </w:rPr>
        <w:t>Physical, sexual, emotional, financial, spiritual, or online abuse or exploitation</w:t>
      </w:r>
    </w:p>
    <w:p>
      <w:pPr>
        <w:pStyle w:val="ListBullet"/>
      </w:pPr>
      <w:r>
        <w:rPr>
          <w:rFonts w:ascii="Calibri" w:hAnsi="Calibri"/>
          <w:color w:val="19322B"/>
        </w:rPr>
        <w:t>Grooming, sexualized communication, coercion, trafficking, commercial sexual activity, or exchange of help for attention or favors</w:t>
      </w:r>
    </w:p>
    <w:p>
      <w:pPr>
        <w:pStyle w:val="ListBullet"/>
      </w:pPr>
      <w:r>
        <w:rPr>
          <w:rFonts w:ascii="Calibri" w:hAnsi="Calibri"/>
          <w:color w:val="19322B"/>
        </w:rPr>
        <w:t>Harassment, discrimination, bullying, threats, violence, hazing, stalking, or retaliation</w:t>
      </w:r>
    </w:p>
    <w:p>
      <w:pPr>
        <w:pStyle w:val="ListBullet"/>
      </w:pPr>
      <w:r>
        <w:rPr>
          <w:rFonts w:ascii="Calibri" w:hAnsi="Calibri"/>
          <w:color w:val="19322B"/>
        </w:rPr>
        <w:t>Unapproved one-on-one isolation, transportation, lodging, or private digital communication with a minor or vulnerable person</w:t>
      </w:r>
    </w:p>
    <w:p>
      <w:pPr>
        <w:pStyle w:val="ListBullet"/>
      </w:pPr>
      <w:r>
        <w:rPr>
          <w:rFonts w:ascii="Calibri" w:hAnsi="Calibri"/>
          <w:color w:val="19322B"/>
        </w:rPr>
        <w:t>Sharing confidential information, images, or stories without lawful and informed authorization</w:t>
      </w:r>
    </w:p>
    <w:p>
      <w:pPr>
        <w:pStyle w:val="ListBullet"/>
      </w:pPr>
      <w:r>
        <w:rPr>
          <w:rFonts w:ascii="Calibri" w:hAnsi="Calibri"/>
          <w:color w:val="19322B"/>
        </w:rPr>
        <w:t>Ignoring, concealing, discouraging, or privately investigating a report that should be escalated</w:t>
      </w:r>
    </w:p>
    <w:p>
      <w:pPr>
        <w:pStyle w:val="Heading1"/>
      </w:pPr>
      <w:r>
        <w:t>4. Prevention standards</w:t>
      </w:r>
    </w:p>
    <w:p>
      <w:pPr>
        <w:pStyle w:val="ListBullet"/>
      </w:pPr>
      <w:r>
        <w:rPr>
          <w:rFonts w:ascii="Calibri" w:hAnsi="Calibri"/>
          <w:color w:val="19322B"/>
        </w:rPr>
        <w:t>Role-specific screening and background checks before access to minors or vulnerable people</w:t>
      </w:r>
    </w:p>
    <w:p>
      <w:pPr>
        <w:pStyle w:val="ListBullet"/>
      </w:pPr>
      <w:r>
        <w:rPr>
          <w:rFonts w:ascii="Calibri" w:hAnsi="Calibri"/>
          <w:color w:val="19322B"/>
        </w:rPr>
        <w:t>Safeguarding orientation and written acknowledgment before service begins</w:t>
      </w:r>
    </w:p>
    <w:p>
      <w:pPr>
        <w:pStyle w:val="ListBullet"/>
      </w:pPr>
      <w:r>
        <w:rPr>
          <w:rFonts w:ascii="Calibri" w:hAnsi="Calibri"/>
          <w:color w:val="19322B"/>
        </w:rPr>
        <w:t>At least two authorized adults present or another approved observable-accountable practice when working with minors</w:t>
      </w:r>
    </w:p>
    <w:p>
      <w:pPr>
        <w:pStyle w:val="ListBullet"/>
      </w:pPr>
      <w:r>
        <w:rPr>
          <w:rFonts w:ascii="Calibri" w:hAnsi="Calibri"/>
          <w:color w:val="19322B"/>
        </w:rPr>
        <w:t>Clear rules for transportation, bathrooms, changing areas, lodging, photography, gifts, money, and electronic communication</w:t>
      </w:r>
    </w:p>
    <w:p>
      <w:pPr>
        <w:pStyle w:val="ListBullet"/>
      </w:pPr>
      <w:r>
        <w:rPr>
          <w:rFonts w:ascii="Calibri" w:hAnsi="Calibri"/>
          <w:color w:val="19322B"/>
        </w:rPr>
        <w:t>A named local safeguarding lead and a Hope Sojourns primary and backup reporting contact</w:t>
      </w:r>
    </w:p>
    <w:p>
      <w:pPr>
        <w:pStyle w:val="ListBullet"/>
      </w:pPr>
      <w:r>
        <w:rPr>
          <w:rFonts w:ascii="Calibri" w:hAnsi="Calibri"/>
          <w:color w:val="19322B"/>
        </w:rPr>
        <w:t>Periodic review of housing, work sites, supervision, and foreseeable risks</w:t>
      </w:r>
    </w:p>
    <w:p>
      <w:pPr>
        <w:pStyle w:val="Heading1"/>
      </w:pPr>
      <w:r>
        <w:t>5. How to report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IMMEDIATE DANGER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Call local emergency services first. Then contact the local safeguarding lead and Hope Sojourns emergency contacts as soon as it is safe to do so.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Hope Sojourns primary safeguarding contact: </w:t>
      </w:r>
      <w:r>
        <w:rPr>
          <w:rFonts w:ascii="Calibri" w:hAnsi="Calibri"/>
          <w:i/>
          <w:color w:val="5A6E67"/>
          <w:sz w:val="21"/>
        </w:rPr>
        <w:t>[NAME,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Hope Sojourns backup safeguarding contact: </w:t>
      </w:r>
      <w:r>
        <w:rPr>
          <w:rFonts w:ascii="Calibri" w:hAnsi="Calibri"/>
          <w:i/>
          <w:color w:val="5A6E67"/>
          <w:sz w:val="21"/>
        </w:rPr>
        <w:t>[NAME,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Host safeguarding contact: </w:t>
      </w:r>
      <w:r>
        <w:rPr>
          <w:rFonts w:ascii="Calibri" w:hAnsi="Calibri"/>
          <w:i/>
          <w:color w:val="5A6E67"/>
          <w:sz w:val="21"/>
        </w:rPr>
        <w:t>[NAME,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University contact: </w:t>
      </w:r>
      <w:r>
        <w:rPr>
          <w:rFonts w:ascii="Calibri" w:hAnsi="Calibri"/>
          <w:i/>
          <w:color w:val="5A6E67"/>
          <w:sz w:val="21"/>
        </w:rPr>
        <w:t>[NAME,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Local emergency/mandatory-reporting contacts: </w:t>
      </w:r>
      <w:r>
        <w:rPr>
          <w:rFonts w:ascii="Calibri" w:hAnsi="Calibri"/>
          <w:i/>
          <w:color w:val="5A6E67"/>
          <w:sz w:val="21"/>
        </w:rPr>
        <w:t>[NUMBERS AND AGENCIES]</w:t>
      </w:r>
    </w:p>
    <w:p>
      <w:r>
        <w:rPr>
          <w:rFonts w:ascii="Calibri" w:hAnsi="Calibri"/>
          <w:color w:val="19322B"/>
        </w:rPr>
        <w:t>A report should include only known facts: who was involved, what was observed or disclosed, when and where it occurred, immediate safety needs, witnesses, and actions already taken. Do not promise secrecy; explain that information will be shared only with people who need it for protection, response, or legal compliance.</w:t>
      </w:r>
    </w:p>
    <w:p>
      <w:pPr>
        <w:pStyle w:val="Heading1"/>
      </w:pPr>
      <w:r>
        <w:t>6. Response protocol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Protect: address immediate medical, physical, and emotional safety without confronting an alleged offender unnecessarily.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Preserve: document exact words and observable facts; preserve messages, images, and other evidence lawfully.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Report: notify the designated contacts and authorities required by applicable law and policy.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Separate: restrict duties, contact, transportation, housing, or system access when needed to prevent further harm.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Support: offer appropriate medical, advocacy, counseling, university, pastoral, or travel support without pressuring the affected person.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Coordinate: determine university, insurer, board, legal, family, and government notifications with qualified advisors.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Review: document findings, actions, lessons learned, and required policy or partner changes.</w:t>
      </w:r>
    </w:p>
    <w:p>
      <w:pPr>
        <w:pStyle w:val="Heading1"/>
      </w:pPr>
      <w:r>
        <w:t>7. Non-retaliation and confidentiality</w:t>
      </w:r>
    </w:p>
    <w:p>
      <w:r>
        <w:rPr>
          <w:rFonts w:ascii="Calibri" w:hAnsi="Calibri"/>
          <w:color w:val="19322B"/>
        </w:rPr>
        <w:t>Good-faith reports and participation in a response process are protected from retaliation. Deliberately false reports may be addressed separately, but an unsubstantiated report is not automatically a false report. Information will be limited to those with a legitimate need to know.</w:t>
      </w:r>
    </w:p>
    <w:p>
      <w:pPr>
        <w:pStyle w:val="Heading1"/>
      </w:pPr>
      <w:r>
        <w:t>8. Initial incident record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Reporter and safe contact method: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Date/time received: </w:t>
      </w:r>
      <w:r>
        <w:rPr>
          <w:rFonts w:ascii="Calibri" w:hAnsi="Calibri"/>
          <w:i/>
          <w:color w:val="5A6E67"/>
          <w:sz w:val="21"/>
        </w:rPr>
        <w:t>[DATE AND TIME]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People involved: </w:t>
      </w:r>
      <w:r>
        <w:rPr>
          <w:rFonts w:ascii="Calibri" w:hAnsi="Calibri"/>
          <w:i/>
          <w:color w:val="5A6E67"/>
          <w:sz w:val="21"/>
        </w:rPr>
        <w:t>[NAMES/IDENTIFIERS]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Location: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Observed or disclosed facts: </w:t>
      </w:r>
      <w:r>
        <w:rPr>
          <w:rFonts w:ascii="Calibri" w:hAnsi="Calibri"/>
          <w:i/>
          <w:color w:val="5A6E67"/>
          <w:sz w:val="21"/>
        </w:rPr>
        <w:t>[USE ATTACHED FACTUAL NOTES]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Immediate safety action: </w:t>
      </w:r>
      <w:r>
        <w:rPr>
          <w:rFonts w:ascii="Calibri" w:hAnsi="Calibri"/>
          <w:i/>
          <w:color w:val="5A6E67"/>
          <w:sz w:val="21"/>
        </w:rPr>
        <w:t>[DETAILS]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Authorities/contacts notified: </w:t>
      </w:r>
      <w:r>
        <w:rPr>
          <w:rFonts w:ascii="Calibri" w:hAnsi="Calibri"/>
          <w:i/>
          <w:color w:val="5A6E67"/>
          <w:sz w:val="21"/>
        </w:rPr>
        <w:t>[WHO, WHEN, BY WHOM]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Next review time: </w:t>
      </w:r>
      <w:r>
        <w:rPr>
          <w:rFonts w:ascii="Calibri" w:hAnsi="Calibri"/>
          <w:i/>
          <w:color w:val="5A6E67"/>
          <w:sz w:val="21"/>
        </w:rPr>
        <w:t>[DATE AND TIME]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PROGRAM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3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Safeguarding and Misconduct Reporting Policy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